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jc w:val="center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2022年度自然灾害防治技术装备工程化攻关重点支持方向推荐表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540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填报单位：</w:t>
      </w:r>
    </w:p>
    <w:tbl>
      <w:tblPr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631"/>
        <w:gridCol w:w="709"/>
        <w:gridCol w:w="644"/>
        <w:gridCol w:w="903"/>
        <w:gridCol w:w="1272"/>
        <w:gridCol w:w="735"/>
        <w:gridCol w:w="1110"/>
        <w:gridCol w:w="916"/>
        <w:gridCol w:w="618"/>
        <w:gridCol w:w="832"/>
        <w:gridCol w:w="1389"/>
        <w:gridCol w:w="786"/>
        <w:gridCol w:w="683"/>
        <w:gridCol w:w="877"/>
        <w:gridCol w:w="917"/>
        <w:gridCol w:w="567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66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75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产品名称</w:t>
            </w:r>
          </w:p>
        </w:tc>
        <w:tc>
          <w:tcPr>
            <w:tcW w:w="67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应用领域</w:t>
            </w:r>
          </w:p>
        </w:tc>
        <w:tc>
          <w:tcPr>
            <w:tcW w:w="97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必要性及可行性</w:t>
            </w:r>
          </w:p>
        </w:tc>
        <w:tc>
          <w:tcPr>
            <w:tcW w:w="136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产品关键性能指标（原则上不超过300字）</w:t>
            </w:r>
          </w:p>
        </w:tc>
        <w:tc>
          <w:tcPr>
            <w:tcW w:w="78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年度需求量</w:t>
            </w:r>
          </w:p>
        </w:tc>
        <w:tc>
          <w:tcPr>
            <w:tcW w:w="121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国内主要生产企业及产品性能现状</w:t>
            </w:r>
          </w:p>
        </w:tc>
        <w:tc>
          <w:tcPr>
            <w:tcW w:w="99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国际主要制造商及技术水平</w:t>
            </w:r>
          </w:p>
        </w:tc>
        <w:tc>
          <w:tcPr>
            <w:tcW w:w="64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攻关年度</w:t>
            </w:r>
          </w:p>
        </w:tc>
        <w:tc>
          <w:tcPr>
            <w:tcW w:w="85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资金需求测算（万元）</w:t>
            </w:r>
          </w:p>
        </w:tc>
        <w:tc>
          <w:tcPr>
            <w:tcW w:w="150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应用考核目标（可靠性、一致性、台套数等可考核目标）</w:t>
            </w:r>
          </w:p>
        </w:tc>
        <w:tc>
          <w:tcPr>
            <w:tcW w:w="84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实施主体要求</w:t>
            </w:r>
          </w:p>
        </w:tc>
        <w:tc>
          <w:tcPr>
            <w:tcW w:w="72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推荐单位</w:t>
            </w:r>
          </w:p>
        </w:tc>
        <w:tc>
          <w:tcPr>
            <w:tcW w:w="94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推荐单位联系人姓名</w:t>
            </w:r>
          </w:p>
        </w:tc>
        <w:tc>
          <w:tcPr>
            <w:tcW w:w="99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推荐单位联系人联系方式</w:t>
            </w:r>
          </w:p>
        </w:tc>
        <w:tc>
          <w:tcPr>
            <w:tcW w:w="58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E5E5E5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E5E5E5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E5E5E5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E5E5E5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00" w:type="dxa"/>
            <w:tcBorders>
              <w:top w:val="nil"/>
              <w:left w:val="single" w:color="auto" w:sz="6" w:space="0"/>
              <w:bottom w:val="single" w:color="E5E5E5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single" w:color="E5E5E5" w:sz="6" w:space="0"/>
              <w:left w:val="nil"/>
              <w:bottom w:val="single" w:color="E5E5E5" w:sz="6" w:space="0"/>
              <w:right w:val="single" w:color="E5E5E5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075" w:type="dxa"/>
            <w:gridSpan w:val="17"/>
            <w:vMerge w:val="restart"/>
            <w:tcBorders>
              <w:top w:val="nil"/>
              <w:left w:val="single" w:color="auto" w:sz="6" w:space="0"/>
              <w:bottom w:val="single" w:color="E5E5E5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注：1.类别分别为新型应急指挥通信、特种交通应急保障、专用抢险救援、专用紧急医学救援、智能无人应急救援、监测预报预警和灾害信息获取。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bdr w:val="none" w:color="auto" w:sz="0" w:space="0"/>
              </w:rPr>
              <w:t>    2.实施主体要求：填写“单个单位” “联合体” “单个单位或联合体”；如有其他特殊要求请填写具体要求及理由。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15075" w:type="dxa"/>
            <w:gridSpan w:val="17"/>
            <w:vMerge w:val="continue"/>
            <w:tcBorders>
              <w:top w:val="nil"/>
              <w:left w:val="single" w:color="auto" w:sz="6" w:space="0"/>
              <w:bottom w:val="single" w:color="E5E5E5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7643CE86-CA66-4675-9000-A3611DEE027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B591748-352C-45B4-8854-F17B6AE2E53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915F3"/>
    <w:rsid w:val="7AF9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2021-09-05T01:35:00Z</dcterms:created>
  <dc:creator>弘一职校</dc:creator>
  <cp:lastModifiedBy>弘一职校</cp:lastModifiedBy>
  <dcterms:modified xsi:type="dcterms:W3CDTF">2021-09-05T01:36:38Z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09DD0C70E44A4AF6846AB6D97D3792CB</vt:lpwstr>
  </property>
</Properties>
</file>