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7D3C" w:rsidRPr="00CE7D3C" w:rsidRDefault="00CE7D3C" w:rsidP="00CE7D3C">
      <w:pPr>
        <w:widowControl/>
        <w:spacing w:after="300"/>
        <w:jc w:val="center"/>
        <w:rPr>
          <w:rFonts w:ascii="宋体" w:eastAsia="宋体" w:hAnsi="宋体" w:cs="宋体"/>
          <w:color w:val="333333"/>
          <w:kern w:val="0"/>
          <w:sz w:val="45"/>
          <w:szCs w:val="45"/>
        </w:rPr>
      </w:pPr>
      <w:r w:rsidRPr="00CE7D3C">
        <w:rPr>
          <w:rFonts w:ascii="宋体" w:eastAsia="宋体" w:hAnsi="宋体" w:cs="宋体"/>
          <w:color w:val="333333"/>
          <w:kern w:val="0"/>
          <w:sz w:val="45"/>
          <w:szCs w:val="45"/>
        </w:rPr>
        <w:t>重庆市药品流通行业购销情况监测统计工作购买服务招标公告</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根据《中华人民共和国政府采购法》及有关法律法规和规章规定,对下述项目进行招标采购,特邀请合格的投标人前来投标。</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b/>
          <w:bCs/>
          <w:color w:val="333333"/>
          <w:kern w:val="0"/>
          <w:sz w:val="29"/>
          <w:szCs w:val="29"/>
        </w:rPr>
        <w:t>一、项目概况</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一）项目名称：根据商务部《商务部关于“十四五”时期促进药品流通行业高质量发展的指导意见》，和商务部《商贸服务典型企业统计调查制度》(药品流通行业)部分的通知精神，通过购买服务开展药品流通行业购销情况统计工作。</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（二）项目预算：预计总费用控制在9万元/年以内。</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（三）项目主要内容及要求：按照商务部行业数据统计规定及市</w:t>
      </w:r>
      <w:proofErr w:type="gramStart"/>
      <w:r w:rsidRPr="00CE7D3C">
        <w:rPr>
          <w:rFonts w:ascii="宋体" w:eastAsia="宋体" w:hAnsi="宋体" w:cs="宋体"/>
          <w:color w:val="333333"/>
          <w:kern w:val="0"/>
          <w:sz w:val="29"/>
          <w:szCs w:val="29"/>
        </w:rPr>
        <w:t>商务委</w:t>
      </w:r>
      <w:proofErr w:type="gramEnd"/>
      <w:r w:rsidRPr="00CE7D3C">
        <w:rPr>
          <w:rFonts w:ascii="宋体" w:eastAsia="宋体" w:hAnsi="宋体" w:cs="宋体"/>
          <w:color w:val="333333"/>
          <w:kern w:val="0"/>
          <w:sz w:val="29"/>
          <w:szCs w:val="29"/>
        </w:rPr>
        <w:t>工作要求，按时准确直接收集全市60家以上药品流通企业相关情况及购销存数据。形成统计数据：①药品批发和零售业法人单位基本情况统计表；②药品批发和零售企业商品购进、销售、库存情况统计表；③药品流通企业零售业务经营情况统计表；④医药物流配送企业运营基本情况统计表；⑤</w:t>
      </w:r>
      <w:proofErr w:type="gramStart"/>
      <w:r w:rsidRPr="00CE7D3C">
        <w:rPr>
          <w:rFonts w:ascii="宋体" w:eastAsia="宋体" w:hAnsi="宋体" w:cs="宋体"/>
          <w:color w:val="333333"/>
          <w:kern w:val="0"/>
          <w:sz w:val="29"/>
          <w:szCs w:val="29"/>
        </w:rPr>
        <w:t>医药电</w:t>
      </w:r>
      <w:proofErr w:type="gramEnd"/>
      <w:r w:rsidRPr="00CE7D3C">
        <w:rPr>
          <w:rFonts w:ascii="宋体" w:eastAsia="宋体" w:hAnsi="宋体" w:cs="宋体"/>
          <w:color w:val="333333"/>
          <w:kern w:val="0"/>
          <w:sz w:val="29"/>
          <w:szCs w:val="29"/>
        </w:rPr>
        <w:t>商运营基本情况统计表；⑥药品批发和零售企业主要经济指标统计表；⑦非直报药品批发和零售企业商品购进、销售、库存情况统计表；⑧重点药品市场</w:t>
      </w:r>
      <w:proofErr w:type="gramStart"/>
      <w:r w:rsidRPr="00CE7D3C">
        <w:rPr>
          <w:rFonts w:ascii="宋体" w:eastAsia="宋体" w:hAnsi="宋体" w:cs="宋体"/>
          <w:color w:val="333333"/>
          <w:kern w:val="0"/>
          <w:sz w:val="29"/>
          <w:szCs w:val="29"/>
        </w:rPr>
        <w:t>监测日</w:t>
      </w:r>
      <w:proofErr w:type="gramEnd"/>
      <w:r w:rsidRPr="00CE7D3C">
        <w:rPr>
          <w:rFonts w:ascii="宋体" w:eastAsia="宋体" w:hAnsi="宋体" w:cs="宋体"/>
          <w:color w:val="333333"/>
          <w:kern w:val="0"/>
          <w:sz w:val="29"/>
          <w:szCs w:val="29"/>
        </w:rPr>
        <w:t>报表。</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b/>
          <w:bCs/>
          <w:color w:val="333333"/>
          <w:kern w:val="0"/>
          <w:sz w:val="29"/>
          <w:szCs w:val="29"/>
        </w:rPr>
        <w:t>二、合格的投标人必须具备以下条件</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lastRenderedPageBreak/>
        <w:t>(</w:t>
      </w:r>
      <w:proofErr w:type="gramStart"/>
      <w:r w:rsidRPr="00CE7D3C">
        <w:rPr>
          <w:rFonts w:ascii="宋体" w:eastAsia="宋体" w:hAnsi="宋体" w:cs="宋体"/>
          <w:color w:val="333333"/>
          <w:kern w:val="0"/>
          <w:sz w:val="29"/>
          <w:szCs w:val="29"/>
        </w:rPr>
        <w:t>一</w:t>
      </w:r>
      <w:proofErr w:type="gramEnd"/>
      <w:r w:rsidRPr="00CE7D3C">
        <w:rPr>
          <w:rFonts w:ascii="宋体" w:eastAsia="宋体" w:hAnsi="宋体" w:cs="宋体"/>
          <w:color w:val="333333"/>
          <w:kern w:val="0"/>
          <w:sz w:val="29"/>
          <w:szCs w:val="29"/>
        </w:rPr>
        <w:t>)符合《中华人民共和国政府采购法》第二十二条规定的供应商。</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(二)合法注册并获得法人证书或营业执照等相关证件。</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(三)近三年以来未曾受过刑事处罚,行政处罚,或行业自律惩戒。</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b/>
          <w:bCs/>
          <w:color w:val="333333"/>
          <w:kern w:val="0"/>
          <w:sz w:val="29"/>
          <w:szCs w:val="29"/>
        </w:rPr>
        <w:t>三、投标书应包括以下内容</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投标项目及价格；法人证书或营业执照等相关证件；类似项目经验证明；项目人员配置情况；监测统计方案；投标明细表。</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b/>
          <w:bCs/>
          <w:color w:val="333333"/>
          <w:kern w:val="0"/>
          <w:sz w:val="29"/>
          <w:szCs w:val="29"/>
        </w:rPr>
        <w:t>四、评审方法及程序</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w:t>
      </w:r>
      <w:proofErr w:type="gramStart"/>
      <w:r w:rsidRPr="00CE7D3C">
        <w:rPr>
          <w:rFonts w:ascii="宋体" w:eastAsia="宋体" w:hAnsi="宋体" w:cs="宋体"/>
          <w:color w:val="333333"/>
          <w:kern w:val="0"/>
          <w:sz w:val="29"/>
          <w:szCs w:val="29"/>
        </w:rPr>
        <w:t>一</w:t>
      </w:r>
      <w:proofErr w:type="gramEnd"/>
      <w:r w:rsidRPr="00CE7D3C">
        <w:rPr>
          <w:rFonts w:ascii="宋体" w:eastAsia="宋体" w:hAnsi="宋体" w:cs="宋体"/>
          <w:color w:val="333333"/>
          <w:kern w:val="0"/>
          <w:sz w:val="29"/>
          <w:szCs w:val="29"/>
        </w:rPr>
        <w:t>)资格性检查。依据法律法规和招标通知书的规定，对投标文件中的资格证明进行审查，以确定供应商是否具备投标资格。资格性检查资料表如下:</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870"/>
        <w:gridCol w:w="2275"/>
        <w:gridCol w:w="5145"/>
      </w:tblGrid>
      <w:tr w:rsidR="00CE7D3C" w:rsidRPr="00CE7D3C" w:rsidTr="00CE7D3C">
        <w:trPr>
          <w:jc w:val="center"/>
        </w:trPr>
        <w:tc>
          <w:tcPr>
            <w:tcW w:w="318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检查因素</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检查内容</w:t>
            </w:r>
          </w:p>
        </w:tc>
      </w:tr>
      <w:tr w:rsidR="00CE7D3C" w:rsidRPr="00CE7D3C" w:rsidTr="00CE7D3C">
        <w:trPr>
          <w:jc w:val="center"/>
        </w:trPr>
        <w:tc>
          <w:tcPr>
            <w:tcW w:w="70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供应商应</w:t>
            </w:r>
          </w:p>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符合的基本条件</w:t>
            </w: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(1)具有独立承担民事责任的能力</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投标人营业执照(副本)或法人证书(副本)复印件;</w:t>
            </w:r>
          </w:p>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投标人法定代表人身份证明和法定代表人授权代表委托书;</w:t>
            </w:r>
          </w:p>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不具有独立法人的分公司、办事处等分支机构不能参加投标。</w:t>
            </w:r>
          </w:p>
        </w:tc>
      </w:tr>
      <w:tr w:rsidR="00CE7D3C" w:rsidRPr="00CE7D3C" w:rsidTr="00CE7D3C">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rsidR="00CE7D3C" w:rsidRPr="00CE7D3C" w:rsidRDefault="00CE7D3C" w:rsidP="00CE7D3C">
            <w:pPr>
              <w:widowControl/>
              <w:jc w:val="left"/>
              <w:rPr>
                <w:rFonts w:ascii="宋体" w:eastAsia="宋体" w:hAnsi="宋体" w:cs="宋体"/>
                <w:color w:val="333333"/>
                <w:kern w:val="0"/>
                <w:sz w:val="24"/>
                <w:szCs w:val="24"/>
              </w:rPr>
            </w:pP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(2)具有良好的商业信誉和健全的财务会计制度</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提供2020年度以来的财务状况报告(表)复印件,本年度新成立的公司提交投标文件截止时间前一个月的财务状况报告(表)复印件。(新成立公司不足一个月的除外)</w:t>
            </w:r>
          </w:p>
        </w:tc>
      </w:tr>
      <w:tr w:rsidR="00CE7D3C" w:rsidRPr="00CE7D3C" w:rsidTr="00CE7D3C">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rsidR="00CE7D3C" w:rsidRPr="00CE7D3C" w:rsidRDefault="00CE7D3C" w:rsidP="00CE7D3C">
            <w:pPr>
              <w:widowControl/>
              <w:jc w:val="left"/>
              <w:rPr>
                <w:rFonts w:ascii="宋体" w:eastAsia="宋体" w:hAnsi="宋体" w:cs="宋体"/>
                <w:color w:val="333333"/>
                <w:kern w:val="0"/>
                <w:sz w:val="24"/>
                <w:szCs w:val="24"/>
              </w:rPr>
            </w:pP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(3)具有履行合同所必需的设备和专业技术能力</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供应商提供书面声明。</w:t>
            </w:r>
          </w:p>
        </w:tc>
      </w:tr>
      <w:tr w:rsidR="00CE7D3C" w:rsidRPr="00CE7D3C" w:rsidTr="00CE7D3C">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rsidR="00CE7D3C" w:rsidRPr="00CE7D3C" w:rsidRDefault="00CE7D3C" w:rsidP="00CE7D3C">
            <w:pPr>
              <w:widowControl/>
              <w:jc w:val="left"/>
              <w:rPr>
                <w:rFonts w:ascii="宋体" w:eastAsia="宋体" w:hAnsi="宋体" w:cs="宋体"/>
                <w:color w:val="333333"/>
                <w:kern w:val="0"/>
                <w:sz w:val="24"/>
                <w:szCs w:val="24"/>
              </w:rPr>
            </w:pP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(4)有依法纳税和社会保障金的良好记录</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税务登记证(副本)复印件和社会保险缴纳证明材料。</w:t>
            </w:r>
          </w:p>
        </w:tc>
      </w:tr>
      <w:tr w:rsidR="00CE7D3C" w:rsidRPr="00CE7D3C" w:rsidTr="00CE7D3C">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rsidR="00CE7D3C" w:rsidRPr="00CE7D3C" w:rsidRDefault="00CE7D3C" w:rsidP="00CE7D3C">
            <w:pPr>
              <w:widowControl/>
              <w:jc w:val="left"/>
              <w:rPr>
                <w:rFonts w:ascii="宋体" w:eastAsia="宋体" w:hAnsi="宋体" w:cs="宋体"/>
                <w:color w:val="333333"/>
                <w:kern w:val="0"/>
                <w:sz w:val="24"/>
                <w:szCs w:val="24"/>
              </w:rPr>
            </w:pP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(5)参加采购活动前三年内,在经营活动中无不良诚信记录和重大违法记录</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供应商应在“信用中国”网站(www.creditchina.gov.cn)或“中国政府采购网(www.ccgp.gov.cn)”等渠道查询信用记录,并下载信用信息报告加盖公司公章。对列入失信被执行人、重大税收违法案件当事人名单、政府采购严重违法失信行为记录名单的投标人将拒绝其参与政府采购活动。</w:t>
            </w:r>
          </w:p>
        </w:tc>
      </w:tr>
    </w:tbl>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注:供应商按“多证合一”登记制度办理营业执照的,组织机构代码证和税务登记证(副本)以供应商所提供的营业执照（副本）复印件为准。</w:t>
      </w:r>
    </w:p>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（二）评审标准。</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870"/>
        <w:gridCol w:w="1259"/>
        <w:gridCol w:w="870"/>
        <w:gridCol w:w="3779"/>
        <w:gridCol w:w="1512"/>
      </w:tblGrid>
      <w:tr w:rsidR="00CE7D3C" w:rsidRPr="00CE7D3C" w:rsidTr="00CE7D3C">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序号</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评分因素及权重</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分值</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评分标准</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说明</w:t>
            </w:r>
          </w:p>
        </w:tc>
      </w:tr>
      <w:tr w:rsidR="00CE7D3C" w:rsidRPr="00CE7D3C" w:rsidTr="00CE7D3C">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lastRenderedPageBreak/>
              <w:t>1</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投标报价(10%)</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10</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以有效的投标价中最低价为评标基准价,按照下列公式计算每个投标人的投标报价得分。投标报价得分=(评标基准价/投标报价)×价格权重×100</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高于限价为无效报价</w:t>
            </w:r>
          </w:p>
        </w:tc>
      </w:tr>
      <w:tr w:rsidR="00CE7D3C" w:rsidRPr="00CE7D3C" w:rsidTr="00CE7D3C">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2</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服务部分(70%)</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70</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按服务内容和要求提供书面方案。</w:t>
            </w:r>
          </w:p>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1、整体方案(包括但不限于监测统计整体工作安排,监测统计企业类别、项目类别、监测统计周期、上报时限等)(60分)</w:t>
            </w:r>
          </w:p>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proofErr w:type="gramStart"/>
            <w:r w:rsidRPr="00CE7D3C">
              <w:rPr>
                <w:rFonts w:ascii="宋体" w:eastAsia="宋体" w:hAnsi="宋体" w:cs="宋体"/>
                <w:color w:val="333333"/>
                <w:kern w:val="0"/>
                <w:sz w:val="24"/>
                <w:szCs w:val="24"/>
              </w:rPr>
              <w:t>优得</w:t>
            </w:r>
            <w:proofErr w:type="gramEnd"/>
            <w:r w:rsidRPr="00CE7D3C">
              <w:rPr>
                <w:rFonts w:ascii="宋体" w:eastAsia="宋体" w:hAnsi="宋体" w:cs="宋体"/>
                <w:color w:val="333333"/>
                <w:kern w:val="0"/>
                <w:sz w:val="24"/>
                <w:szCs w:val="24"/>
              </w:rPr>
              <w:t>41-60分,</w:t>
            </w:r>
            <w:proofErr w:type="gramStart"/>
            <w:r w:rsidRPr="00CE7D3C">
              <w:rPr>
                <w:rFonts w:ascii="宋体" w:eastAsia="宋体" w:hAnsi="宋体" w:cs="宋体"/>
                <w:color w:val="333333"/>
                <w:kern w:val="0"/>
                <w:sz w:val="24"/>
                <w:szCs w:val="24"/>
              </w:rPr>
              <w:t>良得</w:t>
            </w:r>
            <w:proofErr w:type="gramEnd"/>
            <w:r w:rsidRPr="00CE7D3C">
              <w:rPr>
                <w:rFonts w:ascii="宋体" w:eastAsia="宋体" w:hAnsi="宋体" w:cs="宋体"/>
                <w:color w:val="333333"/>
                <w:kern w:val="0"/>
                <w:sz w:val="24"/>
                <w:szCs w:val="24"/>
              </w:rPr>
              <w:t>21-40分,一般得1-20分。</w:t>
            </w:r>
          </w:p>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2、工作推进进度安排(10分)</w:t>
            </w:r>
          </w:p>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proofErr w:type="gramStart"/>
            <w:r w:rsidRPr="00CE7D3C">
              <w:rPr>
                <w:rFonts w:ascii="宋体" w:eastAsia="宋体" w:hAnsi="宋体" w:cs="宋体"/>
                <w:color w:val="333333"/>
                <w:kern w:val="0"/>
                <w:sz w:val="24"/>
                <w:szCs w:val="24"/>
              </w:rPr>
              <w:t>优得</w:t>
            </w:r>
            <w:proofErr w:type="gramEnd"/>
            <w:r w:rsidRPr="00CE7D3C">
              <w:rPr>
                <w:rFonts w:ascii="宋体" w:eastAsia="宋体" w:hAnsi="宋体" w:cs="宋体"/>
                <w:color w:val="333333"/>
                <w:kern w:val="0"/>
                <w:sz w:val="24"/>
                <w:szCs w:val="24"/>
              </w:rPr>
              <w:t>8-10分,</w:t>
            </w:r>
            <w:proofErr w:type="gramStart"/>
            <w:r w:rsidRPr="00CE7D3C">
              <w:rPr>
                <w:rFonts w:ascii="宋体" w:eastAsia="宋体" w:hAnsi="宋体" w:cs="宋体"/>
                <w:color w:val="333333"/>
                <w:kern w:val="0"/>
                <w:sz w:val="24"/>
                <w:szCs w:val="24"/>
              </w:rPr>
              <w:t>良得</w:t>
            </w:r>
            <w:proofErr w:type="gramEnd"/>
            <w:r w:rsidRPr="00CE7D3C">
              <w:rPr>
                <w:rFonts w:ascii="宋体" w:eastAsia="宋体" w:hAnsi="宋体" w:cs="宋体"/>
                <w:color w:val="333333"/>
                <w:kern w:val="0"/>
                <w:sz w:val="24"/>
                <w:szCs w:val="24"/>
              </w:rPr>
              <w:t>5-7分,一般得1-4分。</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评审人员根据招标单位提供的书面方案进行横向比较独立评分。</w:t>
            </w:r>
          </w:p>
        </w:tc>
      </w:tr>
      <w:tr w:rsidR="00CE7D3C" w:rsidRPr="00CE7D3C" w:rsidTr="00CE7D3C">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3</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熟悉药品流通行业(10%)</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10</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对药品流通行业统计相关数据能够进行科学和前瞻性分析,并能提出合理化意见。</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提供相关工作内容证明材料</w:t>
            </w:r>
          </w:p>
        </w:tc>
      </w:tr>
      <w:tr w:rsidR="00CE7D3C" w:rsidRPr="00CE7D3C" w:rsidTr="00CE7D3C">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4</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proofErr w:type="gramStart"/>
            <w:r w:rsidRPr="00CE7D3C">
              <w:rPr>
                <w:rFonts w:ascii="宋体" w:eastAsia="宋体" w:hAnsi="宋体" w:cs="宋体"/>
                <w:color w:val="333333"/>
                <w:kern w:val="0"/>
                <w:sz w:val="24"/>
                <w:szCs w:val="24"/>
              </w:rPr>
              <w:t>商务委分</w:t>
            </w:r>
            <w:proofErr w:type="gramEnd"/>
            <w:r w:rsidRPr="00CE7D3C">
              <w:rPr>
                <w:rFonts w:ascii="宋体" w:eastAsia="宋体" w:hAnsi="宋体" w:cs="宋体"/>
                <w:color w:val="333333"/>
                <w:kern w:val="0"/>
                <w:sz w:val="24"/>
                <w:szCs w:val="24"/>
              </w:rPr>
              <w:t>(10%)</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10</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供应商2023年1月1日以前,承担过市、区（县）商务部门药品流通类调研等项目服务的,每提供1项合同或证明得2分,承担过市商务主管部门药品流通行业购销统计购买服务的,每提供1项合同或证明得5分,最多10分。</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CE7D3C" w:rsidRPr="00CE7D3C" w:rsidRDefault="00CE7D3C" w:rsidP="00CE7D3C">
            <w:pPr>
              <w:widowControl/>
              <w:spacing w:after="180" w:line="420" w:lineRule="atLeast"/>
              <w:ind w:firstLine="480"/>
              <w:rPr>
                <w:rFonts w:ascii="宋体" w:eastAsia="宋体" w:hAnsi="宋体" w:cs="宋体"/>
                <w:color w:val="333333"/>
                <w:kern w:val="0"/>
                <w:sz w:val="24"/>
                <w:szCs w:val="24"/>
              </w:rPr>
            </w:pPr>
            <w:r w:rsidRPr="00CE7D3C">
              <w:rPr>
                <w:rFonts w:ascii="宋体" w:eastAsia="宋体" w:hAnsi="宋体" w:cs="宋体"/>
                <w:color w:val="333333"/>
                <w:kern w:val="0"/>
                <w:sz w:val="24"/>
                <w:szCs w:val="24"/>
              </w:rPr>
              <w:t>提供合同或协议复印件证明材料(加盖公章),原件备查。</w:t>
            </w:r>
          </w:p>
        </w:tc>
      </w:tr>
    </w:tbl>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lastRenderedPageBreak/>
        <w:t>（三）综合评分法。满分100分,采购人对供应商的项目实施方案和报价进行评分,得分最高的为中标候选人。若综合得分相同的,按评估方案部分评分由高到低顺序排列;若综合得分且方案部分评分相同的,按投标报价由低到高顺序排列;若综合得分、评估方案、投标报价部分评分均相同的,随机抽取一家的方式确定中选人。</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b/>
          <w:bCs/>
          <w:color w:val="333333"/>
          <w:kern w:val="0"/>
          <w:sz w:val="29"/>
          <w:szCs w:val="29"/>
        </w:rPr>
        <w:t>五、投标地点及截止时间</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（一）投标地点：重庆市南岸区南滨路62号能源大厦2009办公室。</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（二）投标截止时间：2023年7月24日17:00，迟到或不符合规定的投标文件恕不接受。</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b/>
          <w:bCs/>
          <w:color w:val="333333"/>
          <w:kern w:val="0"/>
          <w:sz w:val="29"/>
          <w:szCs w:val="29"/>
        </w:rPr>
        <w:t>六、联系方式</w:t>
      </w:r>
    </w:p>
    <w:p w:rsidR="00CE7D3C" w:rsidRPr="00CE7D3C" w:rsidRDefault="00CE7D3C" w:rsidP="00CE7D3C">
      <w:pPr>
        <w:widowControl/>
        <w:spacing w:after="180" w:line="420" w:lineRule="atLeast"/>
        <w:ind w:firstLine="570"/>
        <w:rPr>
          <w:rFonts w:ascii="宋体" w:eastAsia="宋体" w:hAnsi="宋体" w:cs="宋体"/>
          <w:color w:val="333333"/>
          <w:kern w:val="0"/>
          <w:sz w:val="29"/>
          <w:szCs w:val="29"/>
        </w:rPr>
      </w:pPr>
      <w:r w:rsidRPr="00CE7D3C">
        <w:rPr>
          <w:rFonts w:ascii="宋体" w:eastAsia="宋体" w:hAnsi="宋体" w:cs="宋体"/>
          <w:color w:val="333333"/>
          <w:kern w:val="0"/>
          <w:sz w:val="29"/>
          <w:szCs w:val="29"/>
        </w:rPr>
        <w:t>联系人：王小力</w:t>
      </w:r>
      <w:r w:rsidRPr="00CE7D3C">
        <w:rPr>
          <w:rFonts w:ascii="宋体" w:eastAsia="宋体" w:hAnsi="宋体" w:cs="宋体"/>
          <w:color w:val="333333"/>
          <w:kern w:val="0"/>
          <w:sz w:val="29"/>
          <w:szCs w:val="29"/>
        </w:rPr>
        <w:t> </w:t>
      </w:r>
      <w:r w:rsidRPr="00CE7D3C">
        <w:rPr>
          <w:rFonts w:ascii="宋体" w:eastAsia="宋体" w:hAnsi="宋体" w:cs="宋体"/>
          <w:color w:val="333333"/>
          <w:kern w:val="0"/>
          <w:sz w:val="29"/>
          <w:szCs w:val="29"/>
        </w:rPr>
        <w:t> </w:t>
      </w:r>
      <w:r w:rsidRPr="00CE7D3C">
        <w:rPr>
          <w:rFonts w:ascii="宋体" w:eastAsia="宋体" w:hAnsi="宋体" w:cs="宋体"/>
          <w:color w:val="333333"/>
          <w:kern w:val="0"/>
          <w:sz w:val="29"/>
          <w:szCs w:val="29"/>
        </w:rPr>
        <w:t> </w:t>
      </w:r>
      <w:r w:rsidRPr="00CE7D3C">
        <w:rPr>
          <w:rFonts w:ascii="宋体" w:eastAsia="宋体" w:hAnsi="宋体" w:cs="宋体"/>
          <w:color w:val="333333"/>
          <w:kern w:val="0"/>
          <w:sz w:val="29"/>
          <w:szCs w:val="29"/>
        </w:rPr>
        <w:t> </w:t>
      </w:r>
      <w:r w:rsidRPr="00CE7D3C">
        <w:rPr>
          <w:rFonts w:ascii="宋体" w:eastAsia="宋体" w:hAnsi="宋体" w:cs="宋体"/>
          <w:color w:val="333333"/>
          <w:kern w:val="0"/>
          <w:sz w:val="29"/>
          <w:szCs w:val="29"/>
        </w:rPr>
        <w:t> </w:t>
      </w:r>
      <w:r w:rsidRPr="00CE7D3C">
        <w:rPr>
          <w:rFonts w:ascii="宋体" w:eastAsia="宋体" w:hAnsi="宋体" w:cs="宋体"/>
          <w:color w:val="333333"/>
          <w:kern w:val="0"/>
          <w:sz w:val="29"/>
          <w:szCs w:val="29"/>
        </w:rPr>
        <w:t> </w:t>
      </w:r>
      <w:r w:rsidRPr="00CE7D3C">
        <w:rPr>
          <w:rFonts w:ascii="宋体" w:eastAsia="宋体" w:hAnsi="宋体" w:cs="宋体"/>
          <w:color w:val="333333"/>
          <w:kern w:val="0"/>
          <w:sz w:val="29"/>
          <w:szCs w:val="29"/>
        </w:rPr>
        <w:t> </w:t>
      </w:r>
      <w:r w:rsidRPr="00CE7D3C">
        <w:rPr>
          <w:rFonts w:ascii="宋体" w:eastAsia="宋体" w:hAnsi="宋体" w:cs="宋体"/>
          <w:color w:val="333333"/>
          <w:kern w:val="0"/>
          <w:sz w:val="29"/>
          <w:szCs w:val="29"/>
        </w:rPr>
        <w:t> </w:t>
      </w:r>
      <w:r w:rsidRPr="00CE7D3C">
        <w:rPr>
          <w:rFonts w:ascii="宋体" w:eastAsia="宋体" w:hAnsi="宋体" w:cs="宋体"/>
          <w:color w:val="333333"/>
          <w:kern w:val="0"/>
          <w:sz w:val="29"/>
          <w:szCs w:val="29"/>
        </w:rPr>
        <w:t>电话：62663675</w:t>
      </w:r>
    </w:p>
    <w:p w:rsidR="00052012" w:rsidRPr="00CE7D3C" w:rsidRDefault="00CE7D3C"/>
    <w:sectPr w:rsidR="00052012" w:rsidRPr="00CE7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3C"/>
    <w:rsid w:val="00684492"/>
    <w:rsid w:val="00CE7D3C"/>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C9E27-5BBC-40D1-9B37-2829D9A7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14621">
      <w:bodyDiv w:val="1"/>
      <w:marLeft w:val="0"/>
      <w:marRight w:val="0"/>
      <w:marTop w:val="0"/>
      <w:marBottom w:val="0"/>
      <w:divBdr>
        <w:top w:val="none" w:sz="0" w:space="0" w:color="auto"/>
        <w:left w:val="none" w:sz="0" w:space="0" w:color="auto"/>
        <w:bottom w:val="none" w:sz="0" w:space="0" w:color="auto"/>
        <w:right w:val="none" w:sz="0" w:space="0" w:color="auto"/>
      </w:divBdr>
      <w:divsChild>
        <w:div w:id="324672661">
          <w:marLeft w:val="0"/>
          <w:marRight w:val="0"/>
          <w:marTop w:val="0"/>
          <w:marBottom w:val="0"/>
          <w:divBdr>
            <w:top w:val="single" w:sz="6" w:space="26" w:color="E5E5E5"/>
            <w:left w:val="none" w:sz="0" w:space="0" w:color="auto"/>
            <w:bottom w:val="none" w:sz="0" w:space="0" w:color="auto"/>
            <w:right w:val="none" w:sz="0" w:space="0" w:color="auto"/>
          </w:divBdr>
          <w:divsChild>
            <w:div w:id="1465198041">
              <w:marLeft w:val="0"/>
              <w:marRight w:val="0"/>
              <w:marTop w:val="0"/>
              <w:marBottom w:val="0"/>
              <w:divBdr>
                <w:top w:val="none" w:sz="0" w:space="0" w:color="auto"/>
                <w:left w:val="none" w:sz="0" w:space="0" w:color="auto"/>
                <w:bottom w:val="none" w:sz="0" w:space="0" w:color="auto"/>
                <w:right w:val="none" w:sz="0" w:space="0" w:color="auto"/>
              </w:divBdr>
              <w:divsChild>
                <w:div w:id="666203943">
                  <w:marLeft w:val="0"/>
                  <w:marRight w:val="0"/>
                  <w:marTop w:val="0"/>
                  <w:marBottom w:val="0"/>
                  <w:divBdr>
                    <w:top w:val="none" w:sz="0" w:space="0" w:color="auto"/>
                    <w:left w:val="none" w:sz="0" w:space="0" w:color="auto"/>
                    <w:bottom w:val="none" w:sz="0" w:space="0" w:color="auto"/>
                    <w:right w:val="none" w:sz="0" w:space="0" w:color="auto"/>
                  </w:divBdr>
                </w:div>
                <w:div w:id="17603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1</cp:revision>
  <dcterms:created xsi:type="dcterms:W3CDTF">2023-07-19T06:48:00Z</dcterms:created>
  <dcterms:modified xsi:type="dcterms:W3CDTF">2023-07-19T06:49:00Z</dcterms:modified>
</cp:coreProperties>
</file>