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596E" w14:textId="77777777" w:rsidR="00DF4DC2" w:rsidRPr="00DF4DC2" w:rsidRDefault="00DF4DC2" w:rsidP="00DF4DC2">
      <w:pPr>
        <w:widowControl/>
        <w:spacing w:after="300"/>
        <w:jc w:val="center"/>
        <w:rPr>
          <w:rFonts w:ascii="宋体" w:eastAsia="宋体" w:hAnsi="宋体" w:cs="宋体"/>
          <w:color w:val="333333"/>
          <w:kern w:val="0"/>
          <w:sz w:val="45"/>
          <w:szCs w:val="45"/>
        </w:rPr>
      </w:pPr>
      <w:r w:rsidRPr="00DF4DC2">
        <w:rPr>
          <w:rFonts w:ascii="宋体" w:eastAsia="宋体" w:hAnsi="宋体" w:cs="宋体"/>
          <w:color w:val="333333"/>
          <w:kern w:val="0"/>
          <w:sz w:val="45"/>
          <w:szCs w:val="45"/>
        </w:rPr>
        <w:t>重庆市商务委员会关于征集区县外贸发展潜力研究课题研究单位的公告</w:t>
      </w:r>
    </w:p>
    <w:p w14:paraId="6386D73B" w14:textId="77777777" w:rsidR="00DF4DC2" w:rsidRPr="00DF4DC2" w:rsidRDefault="00DF4DC2" w:rsidP="00DF4DC2">
      <w:pPr>
        <w:widowControl/>
        <w:shd w:val="clear" w:color="auto" w:fill="FFFFFF"/>
        <w:spacing w:after="180" w:line="420" w:lineRule="atLeast"/>
        <w:rPr>
          <w:rFonts w:ascii="微软雅黑" w:eastAsia="微软雅黑" w:hAnsi="微软雅黑" w:cs="宋体"/>
          <w:color w:val="333333"/>
          <w:kern w:val="0"/>
          <w:sz w:val="24"/>
          <w:szCs w:val="24"/>
        </w:rPr>
      </w:pPr>
    </w:p>
    <w:p w14:paraId="46FBDF74"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为进一步推进商务发展应用研究，解决发展难题，促进决策科学，根据有关规定，现向社会公开征集区县外贸发展潜力研究课题研究单位。现将有关事项公告如下：</w:t>
      </w:r>
    </w:p>
    <w:p w14:paraId="47B849FE"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b/>
          <w:bCs/>
          <w:color w:val="333333"/>
          <w:kern w:val="0"/>
          <w:sz w:val="29"/>
          <w:szCs w:val="29"/>
        </w:rPr>
        <w:t>一、课题概况</w:t>
      </w:r>
    </w:p>
    <w:p w14:paraId="03FB81D9"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（一）课题名称：重庆市区县外贸发展潜力研究</w:t>
      </w:r>
    </w:p>
    <w:p w14:paraId="62B11CE0"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二）研究内容：全面梳理我市各区县外贸发展情况，详细了解各区县外向型主导产业、贸易方式、主要贸易伙伴、重点外贸企业等情况，在现有产业基础上，挖掘各区县适于出口的特色产品，有针对性地做好培育、引导。同时，通过调研摸清各区县本地企业外贸数据流失情况，找准相关症结，引导本地产品通过本地外贸服务企业出口，充分挖掘外贸发展潜力，</w:t>
      </w:r>
      <w:proofErr w:type="gramStart"/>
      <w:r w:rsidRPr="00DF4DC2">
        <w:rPr>
          <w:rFonts w:ascii="微软雅黑" w:eastAsia="微软雅黑" w:hAnsi="微软雅黑" w:cs="宋体" w:hint="eastAsia"/>
          <w:color w:val="333333"/>
          <w:kern w:val="0"/>
          <w:sz w:val="29"/>
          <w:szCs w:val="29"/>
        </w:rPr>
        <w:t>做大外贸</w:t>
      </w:r>
      <w:proofErr w:type="gramEnd"/>
      <w:r w:rsidRPr="00DF4DC2">
        <w:rPr>
          <w:rFonts w:ascii="微软雅黑" w:eastAsia="微软雅黑" w:hAnsi="微软雅黑" w:cs="宋体" w:hint="eastAsia"/>
          <w:color w:val="333333"/>
          <w:kern w:val="0"/>
          <w:sz w:val="29"/>
          <w:szCs w:val="29"/>
        </w:rPr>
        <w:t>增量，提升发展质量。</w:t>
      </w:r>
    </w:p>
    <w:p w14:paraId="3FAD9C4F"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b/>
          <w:bCs/>
          <w:color w:val="333333"/>
          <w:kern w:val="0"/>
          <w:sz w:val="29"/>
          <w:szCs w:val="29"/>
        </w:rPr>
        <w:t>二、申报资格</w:t>
      </w:r>
    </w:p>
    <w:p w14:paraId="025261DD"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（一）项目申报单位应为具有独立法人资格的高等院校、科研机构、企业、行业协会、事业单位等。</w:t>
      </w:r>
    </w:p>
    <w:p w14:paraId="2D8102A0"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lastRenderedPageBreak/>
        <w:t>（二）项目负责人必须具有较高的政治素养，必须熟悉研究课题领域，必须对申报项目实施全过程组织指导并承担实质性研究工作，挂名或不担负实质性研究工作的不得作为项目组负责人。</w:t>
      </w:r>
    </w:p>
    <w:p w14:paraId="494E7577"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b/>
          <w:bCs/>
          <w:color w:val="333333"/>
          <w:kern w:val="0"/>
          <w:sz w:val="29"/>
          <w:szCs w:val="29"/>
        </w:rPr>
        <w:t>三、申报要求</w:t>
      </w:r>
    </w:p>
    <w:p w14:paraId="61FD2FB1"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课题研究要全面贯彻落实中央和市委、市政府决策部署精神，紧扣商务工作实际，观点鲜明正确，分析论证充分，数据材料翔实，逻辑严密，语言精炼，掌握发展规律趋势，问题分析全面准确，对策措施精准务实，形成具有较强实践指导意义和决策咨询价值的课题研究报告。课题研究报告字数不少于1.5万字，9月底前提交报告。</w:t>
      </w:r>
    </w:p>
    <w:p w14:paraId="491B94DB"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b/>
          <w:bCs/>
          <w:color w:val="333333"/>
          <w:kern w:val="0"/>
          <w:sz w:val="29"/>
          <w:szCs w:val="29"/>
        </w:rPr>
        <w:t>四、申报程序</w:t>
      </w:r>
    </w:p>
    <w:p w14:paraId="422A838E"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（一）下载材料。登录重庆市商务委员会网站，下载《重庆市商务委员会商务课题调研申请书》（以下简称《申请书》）等申报材料。</w:t>
      </w:r>
    </w:p>
    <w:p w14:paraId="7405AAEF"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（二）填写申请。申请材料填写内容应简明扼要，突出重点，《申请书》须由申请单位签署审核意见并加盖公章。</w:t>
      </w:r>
    </w:p>
    <w:p w14:paraId="187B968D"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（三）提交申请。应在申报期限内提交申报材料，同时通过指定电子邮箱报送申报材料的电子版。</w:t>
      </w:r>
    </w:p>
    <w:p w14:paraId="584B5F49"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（四）申报期限。截止2023年9月7日18点前。</w:t>
      </w:r>
    </w:p>
    <w:p w14:paraId="5E9358F9"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b/>
          <w:bCs/>
          <w:color w:val="333333"/>
          <w:kern w:val="0"/>
          <w:sz w:val="29"/>
          <w:szCs w:val="29"/>
        </w:rPr>
        <w:t>五、评定程序</w:t>
      </w:r>
    </w:p>
    <w:p w14:paraId="55C9200C"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lastRenderedPageBreak/>
        <w:t>（一）项目评审。由重庆市商务委员会组织评审，对《申请书》等材料进行评审，择优确定课题研究单位。</w:t>
      </w:r>
    </w:p>
    <w:p w14:paraId="1FDF532A"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（二）结果发布。评审结果在重庆市商务委员会网站(http://sww.cq.gov.cn/)公布。</w:t>
      </w:r>
    </w:p>
    <w:p w14:paraId="55862DD3"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b/>
          <w:bCs/>
          <w:color w:val="333333"/>
          <w:kern w:val="0"/>
          <w:sz w:val="29"/>
          <w:szCs w:val="29"/>
        </w:rPr>
        <w:t>六、评分标准</w:t>
      </w:r>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899"/>
        <w:gridCol w:w="1077"/>
        <w:gridCol w:w="4994"/>
        <w:gridCol w:w="1320"/>
      </w:tblGrid>
      <w:tr w:rsidR="00DF4DC2" w:rsidRPr="00DF4DC2" w14:paraId="6D629D08" w14:textId="77777777" w:rsidTr="00DF4DC2">
        <w:trPr>
          <w:jc w:val="center"/>
        </w:trPr>
        <w:tc>
          <w:tcPr>
            <w:tcW w:w="1980" w:type="dxa"/>
            <w:gridSpan w:val="2"/>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798E101" w14:textId="77777777" w:rsidR="00DF4DC2" w:rsidRPr="00DF4DC2" w:rsidRDefault="00DF4DC2" w:rsidP="00DF4DC2">
            <w:pPr>
              <w:widowControl/>
              <w:spacing w:after="180" w:line="420" w:lineRule="atLeast"/>
              <w:ind w:firstLine="480"/>
              <w:rPr>
                <w:rFonts w:ascii="宋体" w:eastAsia="宋体" w:hAnsi="宋体" w:cs="宋体" w:hint="eastAsia"/>
                <w:color w:val="333333"/>
                <w:kern w:val="0"/>
                <w:sz w:val="24"/>
                <w:szCs w:val="24"/>
              </w:rPr>
            </w:pPr>
            <w:r w:rsidRPr="00DF4DC2">
              <w:rPr>
                <w:rFonts w:ascii="宋体" w:eastAsia="宋体" w:hAnsi="宋体" w:cs="宋体"/>
                <w:color w:val="333333"/>
                <w:kern w:val="0"/>
                <w:sz w:val="24"/>
                <w:szCs w:val="24"/>
              </w:rPr>
              <w:t>评分指标</w:t>
            </w:r>
          </w:p>
        </w:tc>
        <w:tc>
          <w:tcPr>
            <w:tcW w:w="51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EFCA5AC"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指标描述</w:t>
            </w:r>
          </w:p>
        </w:tc>
        <w:tc>
          <w:tcPr>
            <w:tcW w:w="133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D6CAE2C"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说明</w:t>
            </w:r>
          </w:p>
        </w:tc>
      </w:tr>
      <w:tr w:rsidR="00DF4DC2" w:rsidRPr="00DF4DC2" w14:paraId="74B3AF1C" w14:textId="77777777" w:rsidTr="00DF4DC2">
        <w:trPr>
          <w:jc w:val="center"/>
        </w:trPr>
        <w:tc>
          <w:tcPr>
            <w:tcW w:w="90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B2F2DF2"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投标报价(15%)</w:t>
            </w:r>
          </w:p>
        </w:tc>
        <w:tc>
          <w:tcPr>
            <w:tcW w:w="108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C02886F"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商务报价（15分）</w:t>
            </w:r>
          </w:p>
        </w:tc>
        <w:tc>
          <w:tcPr>
            <w:tcW w:w="51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838FD56"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有效的投标报价中的最低价为评标基准价，其价格分为满分。其他投标人的价格</w:t>
            </w:r>
            <w:proofErr w:type="gramStart"/>
            <w:r w:rsidRPr="00DF4DC2">
              <w:rPr>
                <w:rFonts w:ascii="宋体" w:eastAsia="宋体" w:hAnsi="宋体" w:cs="宋体"/>
                <w:color w:val="333333"/>
                <w:kern w:val="0"/>
                <w:sz w:val="24"/>
                <w:szCs w:val="24"/>
              </w:rPr>
              <w:t>分统一</w:t>
            </w:r>
            <w:proofErr w:type="gramEnd"/>
            <w:r w:rsidRPr="00DF4DC2">
              <w:rPr>
                <w:rFonts w:ascii="宋体" w:eastAsia="宋体" w:hAnsi="宋体" w:cs="宋体"/>
                <w:color w:val="333333"/>
                <w:kern w:val="0"/>
                <w:sz w:val="24"/>
                <w:szCs w:val="24"/>
              </w:rPr>
              <w:t>按照下列公式计算：投标报价得分=(评标基准价/投标报价)×价格权重×100。</w:t>
            </w:r>
          </w:p>
        </w:tc>
        <w:tc>
          <w:tcPr>
            <w:tcW w:w="133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D5BC579"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高于最高限价为无效报价。</w:t>
            </w:r>
          </w:p>
        </w:tc>
      </w:tr>
      <w:tr w:rsidR="00DF4DC2" w:rsidRPr="00DF4DC2" w14:paraId="2BE46930" w14:textId="77777777" w:rsidTr="00DF4DC2">
        <w:trPr>
          <w:jc w:val="center"/>
        </w:trPr>
        <w:tc>
          <w:tcPr>
            <w:tcW w:w="900"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C51C4A0"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技术比选(60%)</w:t>
            </w:r>
          </w:p>
        </w:tc>
        <w:tc>
          <w:tcPr>
            <w:tcW w:w="108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7F106EA"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研究思路</w:t>
            </w:r>
          </w:p>
          <w:p w14:paraId="54A32236"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(10分)</w:t>
            </w:r>
          </w:p>
        </w:tc>
        <w:tc>
          <w:tcPr>
            <w:tcW w:w="51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1645E57"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对课题研究的目的、内容和要求理解透彻，对国内相关项目了解充分，对本项目的现状、重点难点等认识到位，总体研究思路框架清晰、可操作性强。</w:t>
            </w:r>
          </w:p>
        </w:tc>
        <w:tc>
          <w:tcPr>
            <w:tcW w:w="133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283F896" w14:textId="77777777" w:rsidR="00DF4DC2" w:rsidRPr="00DF4DC2" w:rsidRDefault="00DF4DC2" w:rsidP="00DF4DC2">
            <w:pPr>
              <w:widowControl/>
              <w:jc w:val="left"/>
              <w:rPr>
                <w:rFonts w:ascii="宋体" w:eastAsia="宋体" w:hAnsi="宋体" w:cs="宋体"/>
                <w:color w:val="333333"/>
                <w:kern w:val="0"/>
                <w:sz w:val="24"/>
                <w:szCs w:val="24"/>
              </w:rPr>
            </w:pPr>
          </w:p>
        </w:tc>
      </w:tr>
      <w:tr w:rsidR="00DF4DC2" w:rsidRPr="00DF4DC2" w14:paraId="03A81B85" w14:textId="77777777" w:rsidTr="00DF4DC2">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74A40FFB" w14:textId="77777777" w:rsidR="00DF4DC2" w:rsidRPr="00DF4DC2" w:rsidRDefault="00DF4DC2" w:rsidP="00DF4DC2">
            <w:pPr>
              <w:widowControl/>
              <w:jc w:val="left"/>
              <w:rPr>
                <w:rFonts w:ascii="宋体" w:eastAsia="宋体" w:hAnsi="宋体" w:cs="宋体"/>
                <w:color w:val="333333"/>
                <w:kern w:val="0"/>
                <w:sz w:val="24"/>
                <w:szCs w:val="24"/>
              </w:rPr>
            </w:pPr>
          </w:p>
        </w:tc>
        <w:tc>
          <w:tcPr>
            <w:tcW w:w="108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505FD34"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研究方案（25份）</w:t>
            </w:r>
          </w:p>
        </w:tc>
        <w:tc>
          <w:tcPr>
            <w:tcW w:w="51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1CF98D1"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针对研究课题提出具体、明确、有效的课题研究方案(包括方向、目标、措施和时间、人员安排以及经费预算等)。根据方案内容是否完整、详尽、无缺项、符合项目实际情况等进行综合评分。</w:t>
            </w:r>
          </w:p>
        </w:tc>
        <w:tc>
          <w:tcPr>
            <w:tcW w:w="133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267D76" w14:textId="77777777" w:rsidR="00DF4DC2" w:rsidRPr="00DF4DC2" w:rsidRDefault="00DF4DC2" w:rsidP="00DF4DC2">
            <w:pPr>
              <w:widowControl/>
              <w:jc w:val="left"/>
              <w:rPr>
                <w:rFonts w:ascii="宋体" w:eastAsia="宋体" w:hAnsi="宋体" w:cs="宋体"/>
                <w:color w:val="333333"/>
                <w:kern w:val="0"/>
                <w:sz w:val="24"/>
                <w:szCs w:val="24"/>
              </w:rPr>
            </w:pPr>
          </w:p>
        </w:tc>
      </w:tr>
      <w:tr w:rsidR="00DF4DC2" w:rsidRPr="00DF4DC2" w14:paraId="28E732AE" w14:textId="77777777" w:rsidTr="00DF4DC2">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63347656" w14:textId="77777777" w:rsidR="00DF4DC2" w:rsidRPr="00DF4DC2" w:rsidRDefault="00DF4DC2" w:rsidP="00DF4DC2">
            <w:pPr>
              <w:widowControl/>
              <w:jc w:val="left"/>
              <w:rPr>
                <w:rFonts w:ascii="宋体" w:eastAsia="宋体" w:hAnsi="宋体" w:cs="宋体"/>
                <w:color w:val="333333"/>
                <w:kern w:val="0"/>
                <w:sz w:val="24"/>
                <w:szCs w:val="24"/>
              </w:rPr>
            </w:pPr>
          </w:p>
        </w:tc>
        <w:tc>
          <w:tcPr>
            <w:tcW w:w="108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EACA3D8"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数据质量(15分)</w:t>
            </w:r>
          </w:p>
        </w:tc>
        <w:tc>
          <w:tcPr>
            <w:tcW w:w="51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016972B"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课题研究数据调研充分，统计分析全面，数据来源权威，并有充分的材料和数据作为佐证。</w:t>
            </w:r>
          </w:p>
        </w:tc>
        <w:tc>
          <w:tcPr>
            <w:tcW w:w="133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DB236A5" w14:textId="77777777" w:rsidR="00DF4DC2" w:rsidRPr="00DF4DC2" w:rsidRDefault="00DF4DC2" w:rsidP="00DF4DC2">
            <w:pPr>
              <w:widowControl/>
              <w:jc w:val="left"/>
              <w:rPr>
                <w:rFonts w:ascii="宋体" w:eastAsia="宋体" w:hAnsi="宋体" w:cs="宋体"/>
                <w:color w:val="333333"/>
                <w:kern w:val="0"/>
                <w:sz w:val="24"/>
                <w:szCs w:val="24"/>
              </w:rPr>
            </w:pPr>
          </w:p>
        </w:tc>
      </w:tr>
      <w:tr w:rsidR="00DF4DC2" w:rsidRPr="00DF4DC2" w14:paraId="06AF0E0B" w14:textId="77777777" w:rsidTr="00DF4DC2">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89015C7" w14:textId="77777777" w:rsidR="00DF4DC2" w:rsidRPr="00DF4DC2" w:rsidRDefault="00DF4DC2" w:rsidP="00DF4DC2">
            <w:pPr>
              <w:widowControl/>
              <w:jc w:val="left"/>
              <w:rPr>
                <w:rFonts w:ascii="宋体" w:eastAsia="宋体" w:hAnsi="宋体" w:cs="宋体"/>
                <w:color w:val="333333"/>
                <w:kern w:val="0"/>
                <w:sz w:val="24"/>
                <w:szCs w:val="24"/>
              </w:rPr>
            </w:pPr>
          </w:p>
        </w:tc>
        <w:tc>
          <w:tcPr>
            <w:tcW w:w="108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AA04197"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质量保障（10分）</w:t>
            </w:r>
          </w:p>
        </w:tc>
        <w:tc>
          <w:tcPr>
            <w:tcW w:w="51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10136F0"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能够根据项目研究标准采取有效、可行的质量保证措施和质量控制措施。</w:t>
            </w:r>
          </w:p>
        </w:tc>
        <w:tc>
          <w:tcPr>
            <w:tcW w:w="133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6A58368" w14:textId="77777777" w:rsidR="00DF4DC2" w:rsidRPr="00DF4DC2" w:rsidRDefault="00DF4DC2" w:rsidP="00DF4DC2">
            <w:pPr>
              <w:widowControl/>
              <w:jc w:val="left"/>
              <w:rPr>
                <w:rFonts w:ascii="宋体" w:eastAsia="宋体" w:hAnsi="宋体" w:cs="宋体"/>
                <w:color w:val="333333"/>
                <w:kern w:val="0"/>
                <w:sz w:val="24"/>
                <w:szCs w:val="24"/>
              </w:rPr>
            </w:pPr>
          </w:p>
        </w:tc>
      </w:tr>
      <w:tr w:rsidR="00DF4DC2" w:rsidRPr="00DF4DC2" w14:paraId="74E299CF" w14:textId="77777777" w:rsidTr="00DF4DC2">
        <w:trPr>
          <w:jc w:val="center"/>
        </w:trPr>
        <w:tc>
          <w:tcPr>
            <w:tcW w:w="900"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4BA66A2"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资质比选(25%)</w:t>
            </w:r>
          </w:p>
        </w:tc>
        <w:tc>
          <w:tcPr>
            <w:tcW w:w="1080" w:type="dxa"/>
            <w:vMerge w:val="restart"/>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E0015E3"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研究实力(20分)</w:t>
            </w:r>
          </w:p>
        </w:tc>
        <w:tc>
          <w:tcPr>
            <w:tcW w:w="51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45498C7"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申报单位项目负责人在商务相关领域具备丰富的研究和实践经验，得2分；团队成员具有高级职称人员，以及具有与课题相关的经济学、贸易学、国际合作、区域合作等领域的高层次、高学历人才，每提供一个得1分。最多得5分。</w:t>
            </w:r>
          </w:p>
        </w:tc>
        <w:tc>
          <w:tcPr>
            <w:tcW w:w="133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C75F91D" w14:textId="77777777" w:rsidR="00DF4DC2" w:rsidRPr="00DF4DC2" w:rsidRDefault="00DF4DC2" w:rsidP="00DF4DC2">
            <w:pPr>
              <w:widowControl/>
              <w:jc w:val="left"/>
              <w:rPr>
                <w:rFonts w:ascii="宋体" w:eastAsia="宋体" w:hAnsi="宋体" w:cs="宋体"/>
                <w:color w:val="333333"/>
                <w:kern w:val="0"/>
                <w:sz w:val="24"/>
                <w:szCs w:val="24"/>
              </w:rPr>
            </w:pPr>
          </w:p>
        </w:tc>
      </w:tr>
      <w:tr w:rsidR="00DF4DC2" w:rsidRPr="00DF4DC2" w14:paraId="7C5A6B03" w14:textId="77777777" w:rsidTr="00DF4DC2">
        <w:trPr>
          <w:jc w:val="center"/>
        </w:trPr>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343396F5" w14:textId="77777777" w:rsidR="00DF4DC2" w:rsidRPr="00DF4DC2" w:rsidRDefault="00DF4DC2" w:rsidP="00DF4DC2">
            <w:pPr>
              <w:widowControl/>
              <w:jc w:val="left"/>
              <w:rPr>
                <w:rFonts w:ascii="宋体" w:eastAsia="宋体" w:hAnsi="宋体" w:cs="宋体"/>
                <w:color w:val="333333"/>
                <w:kern w:val="0"/>
                <w:sz w:val="24"/>
                <w:szCs w:val="24"/>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3A32F91D" w14:textId="77777777" w:rsidR="00DF4DC2" w:rsidRPr="00DF4DC2" w:rsidRDefault="00DF4DC2" w:rsidP="00DF4DC2">
            <w:pPr>
              <w:widowControl/>
              <w:jc w:val="left"/>
              <w:rPr>
                <w:rFonts w:ascii="宋体" w:eastAsia="宋体" w:hAnsi="宋体" w:cs="宋体"/>
                <w:color w:val="333333"/>
                <w:kern w:val="0"/>
                <w:sz w:val="24"/>
                <w:szCs w:val="24"/>
              </w:rPr>
            </w:pPr>
          </w:p>
        </w:tc>
        <w:tc>
          <w:tcPr>
            <w:tcW w:w="51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08BABA5"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申报单位近五年内主导编制国际贸易及物流相关</w:t>
            </w:r>
            <w:proofErr w:type="gramStart"/>
            <w:r w:rsidRPr="00DF4DC2">
              <w:rPr>
                <w:rFonts w:ascii="宋体" w:eastAsia="宋体" w:hAnsi="宋体" w:cs="宋体"/>
                <w:color w:val="333333"/>
                <w:kern w:val="0"/>
                <w:sz w:val="24"/>
                <w:szCs w:val="24"/>
              </w:rPr>
              <w:t>国家标准且位列编</w:t>
            </w:r>
            <w:proofErr w:type="gramEnd"/>
            <w:r w:rsidRPr="00DF4DC2">
              <w:rPr>
                <w:rFonts w:ascii="宋体" w:eastAsia="宋体" w:hAnsi="宋体" w:cs="宋体"/>
                <w:color w:val="333333"/>
                <w:kern w:val="0"/>
                <w:sz w:val="24"/>
                <w:szCs w:val="24"/>
              </w:rPr>
              <w:t>制单位排名前三位的，每提供一个得5分，最多得15分。</w:t>
            </w:r>
          </w:p>
        </w:tc>
        <w:tc>
          <w:tcPr>
            <w:tcW w:w="133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944B82E"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提供相关证明材料复印件并加盖供应商公章。</w:t>
            </w:r>
          </w:p>
        </w:tc>
      </w:tr>
      <w:tr w:rsidR="00DF4DC2" w:rsidRPr="00DF4DC2" w14:paraId="57D55919" w14:textId="77777777" w:rsidTr="00DF4DC2">
        <w:trPr>
          <w:jc w:val="center"/>
        </w:trPr>
        <w:tc>
          <w:tcPr>
            <w:tcW w:w="90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3C85C09" w14:textId="77777777" w:rsidR="00DF4DC2" w:rsidRPr="00DF4DC2" w:rsidRDefault="00DF4DC2" w:rsidP="00DF4DC2">
            <w:pPr>
              <w:widowControl/>
              <w:jc w:val="left"/>
              <w:rPr>
                <w:rFonts w:ascii="宋体" w:eastAsia="宋体" w:hAnsi="宋体" w:cs="宋体"/>
                <w:color w:val="333333"/>
                <w:kern w:val="0"/>
                <w:sz w:val="24"/>
                <w:szCs w:val="24"/>
              </w:rPr>
            </w:pPr>
          </w:p>
        </w:tc>
        <w:tc>
          <w:tcPr>
            <w:tcW w:w="108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87F882F"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相关业绩（5分）</w:t>
            </w:r>
          </w:p>
        </w:tc>
        <w:tc>
          <w:tcPr>
            <w:tcW w:w="51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F982E6B"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申报单位近五年内参加过类似省市级或区县级（合同内容包含对外开放或国际贸易、物流相关项目课题）项目业绩的，每提供一个得1分，最多得5分。</w:t>
            </w:r>
          </w:p>
        </w:tc>
        <w:tc>
          <w:tcPr>
            <w:tcW w:w="133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C399351" w14:textId="77777777" w:rsidR="00DF4DC2" w:rsidRPr="00DF4DC2" w:rsidRDefault="00DF4DC2" w:rsidP="00DF4DC2">
            <w:pPr>
              <w:widowControl/>
              <w:spacing w:after="180" w:line="420" w:lineRule="atLeast"/>
              <w:ind w:firstLine="480"/>
              <w:rPr>
                <w:rFonts w:ascii="宋体" w:eastAsia="宋体" w:hAnsi="宋体" w:cs="宋体"/>
                <w:color w:val="333333"/>
                <w:kern w:val="0"/>
                <w:sz w:val="24"/>
                <w:szCs w:val="24"/>
              </w:rPr>
            </w:pPr>
            <w:r w:rsidRPr="00DF4DC2">
              <w:rPr>
                <w:rFonts w:ascii="宋体" w:eastAsia="宋体" w:hAnsi="宋体" w:cs="宋体"/>
                <w:color w:val="333333"/>
                <w:kern w:val="0"/>
                <w:sz w:val="24"/>
                <w:szCs w:val="24"/>
              </w:rPr>
              <w:t>提供合同复印件并加盖供应商公章。（同一采购人的供应商只能算一个）</w:t>
            </w:r>
          </w:p>
        </w:tc>
      </w:tr>
    </w:tbl>
    <w:p w14:paraId="2EC809A5"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color w:val="333333"/>
          <w:kern w:val="0"/>
          <w:sz w:val="29"/>
          <w:szCs w:val="29"/>
        </w:rPr>
      </w:pPr>
      <w:r w:rsidRPr="00DF4DC2">
        <w:rPr>
          <w:rFonts w:ascii="微软雅黑" w:eastAsia="微软雅黑" w:hAnsi="微软雅黑" w:cs="宋体" w:hint="eastAsia"/>
          <w:b/>
          <w:bCs/>
          <w:color w:val="333333"/>
          <w:kern w:val="0"/>
          <w:sz w:val="29"/>
          <w:szCs w:val="29"/>
        </w:rPr>
        <w:t>七、进度要求</w:t>
      </w:r>
    </w:p>
    <w:p w14:paraId="4B26D88E"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（一）调研启动。项目申报单位自接到《立项通知书》后与重庆市商务委员会签订委托合同，正式确定调研方案和相关事宜，并召开课题调研开题会，正式启动调研。</w:t>
      </w:r>
    </w:p>
    <w:p w14:paraId="2C4EA2B8"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lastRenderedPageBreak/>
        <w:t>（二）调研中期。承接项目的单位须向重庆市商务委员会提交课题研究报告和合同规定的文件初稿、决策咨询建议等其他材料，在调研过程中服从重庆市商务委员会的工作指导，充分听取各方面调研意见建议。</w:t>
      </w:r>
    </w:p>
    <w:p w14:paraId="5FC52C3B"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（三）调研结题。承接项目的单位应于2023年9月30日前提交最终成果。重庆市商务委员会组织专家对成果进行最终评审。最终研究成果的知识产权归重庆市商务委员会所有。</w:t>
      </w:r>
    </w:p>
    <w:p w14:paraId="2A3EC6E6"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b/>
          <w:bCs/>
          <w:color w:val="333333"/>
          <w:kern w:val="0"/>
          <w:sz w:val="29"/>
          <w:szCs w:val="29"/>
        </w:rPr>
        <w:t>八、调研经费</w:t>
      </w:r>
    </w:p>
    <w:p w14:paraId="45613BDF"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课题经费预算控制在10万元以内。</w:t>
      </w:r>
    </w:p>
    <w:p w14:paraId="3E42BD71"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b/>
          <w:bCs/>
          <w:color w:val="333333"/>
          <w:kern w:val="0"/>
          <w:sz w:val="29"/>
          <w:szCs w:val="29"/>
        </w:rPr>
        <w:t>九、联系方式</w:t>
      </w:r>
    </w:p>
    <w:p w14:paraId="216A7351"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通信地址：重庆市南岸区南滨路162号2幢能源</w:t>
      </w:r>
      <w:proofErr w:type="gramStart"/>
      <w:r w:rsidRPr="00DF4DC2">
        <w:rPr>
          <w:rFonts w:ascii="微软雅黑" w:eastAsia="微软雅黑" w:hAnsi="微软雅黑" w:cs="宋体" w:hint="eastAsia"/>
          <w:color w:val="333333"/>
          <w:kern w:val="0"/>
          <w:sz w:val="29"/>
          <w:szCs w:val="29"/>
        </w:rPr>
        <w:t>大厦外贸</w:t>
      </w:r>
      <w:proofErr w:type="gramEnd"/>
      <w:r w:rsidRPr="00DF4DC2">
        <w:rPr>
          <w:rFonts w:ascii="微软雅黑" w:eastAsia="微软雅黑" w:hAnsi="微软雅黑" w:cs="宋体" w:hint="eastAsia"/>
          <w:color w:val="333333"/>
          <w:kern w:val="0"/>
          <w:sz w:val="29"/>
          <w:szCs w:val="29"/>
        </w:rPr>
        <w:t>管理处2109</w:t>
      </w:r>
    </w:p>
    <w:p w14:paraId="0BD6A70C"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联系人：张老师</w:t>
      </w:r>
    </w:p>
    <w:p w14:paraId="44D328D0"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联系电话：023-62661195</w:t>
      </w:r>
    </w:p>
    <w:p w14:paraId="73D188E7" w14:textId="77777777"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DF4DC2">
        <w:rPr>
          <w:rFonts w:ascii="微软雅黑" w:eastAsia="微软雅黑" w:hAnsi="微软雅黑" w:cs="宋体" w:hint="eastAsia"/>
          <w:color w:val="333333"/>
          <w:kern w:val="0"/>
          <w:sz w:val="29"/>
          <w:szCs w:val="29"/>
        </w:rPr>
        <w:t>电子邮箱：cqsswwmgc@163.com</w:t>
      </w:r>
    </w:p>
    <w:p w14:paraId="487E01D9" w14:textId="7D152CC5" w:rsidR="00DF4DC2" w:rsidRPr="00DF4DC2" w:rsidRDefault="00DF4DC2" w:rsidP="00DF4DC2">
      <w:pPr>
        <w:widowControl/>
        <w:shd w:val="clear" w:color="auto" w:fill="FFFFFF"/>
        <w:spacing w:after="180" w:line="420" w:lineRule="atLeast"/>
        <w:ind w:firstLine="570"/>
        <w:rPr>
          <w:rFonts w:ascii="微软雅黑" w:eastAsia="微软雅黑" w:hAnsi="微软雅黑" w:cs="宋体" w:hint="eastAsia"/>
          <w:color w:val="333333"/>
          <w:kern w:val="0"/>
          <w:sz w:val="24"/>
          <w:szCs w:val="24"/>
        </w:rPr>
      </w:pPr>
      <w:r w:rsidRPr="00DF4DC2">
        <w:rPr>
          <w:rFonts w:ascii="微软雅黑" w:eastAsia="微软雅黑" w:hAnsi="微软雅黑" w:cs="宋体" w:hint="eastAsia"/>
          <w:color w:val="333333"/>
          <w:kern w:val="0"/>
          <w:sz w:val="29"/>
          <w:szCs w:val="29"/>
        </w:rPr>
        <w:t>附件：</w:t>
      </w:r>
      <w:r w:rsidRPr="00DF4DC2">
        <w:rPr>
          <w:rFonts w:ascii="微软雅黑" w:eastAsia="微软雅黑" w:hAnsi="微软雅黑" w:cs="宋体"/>
          <w:noProof/>
          <w:color w:val="333333"/>
          <w:kern w:val="0"/>
          <w:sz w:val="24"/>
          <w:szCs w:val="24"/>
        </w:rPr>
        <w:drawing>
          <wp:inline distT="0" distB="0" distL="0" distR="0" wp14:anchorId="47E325D6" wp14:editId="4BD67361">
            <wp:extent cx="152400" cy="152400"/>
            <wp:effectExtent l="0" t="0" r="0" b="0"/>
            <wp:docPr id="1856655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ooltip="重庆市商务委员会商务课题调研申请书.doc" w:history="1">
        <w:r w:rsidRPr="00DF4DC2">
          <w:rPr>
            <w:rFonts w:ascii="微软雅黑" w:eastAsia="微软雅黑" w:hAnsi="微软雅黑" w:cs="宋体" w:hint="eastAsia"/>
            <w:color w:val="0066CC"/>
            <w:kern w:val="0"/>
            <w:sz w:val="24"/>
            <w:szCs w:val="24"/>
            <w:u w:val="single"/>
          </w:rPr>
          <w:t>重庆市商务委员会商务课题调研申请书.doc</w:t>
        </w:r>
      </w:hyperlink>
    </w:p>
    <w:p w14:paraId="5BD544E3" w14:textId="77777777" w:rsidR="00DF4DC2" w:rsidRPr="00DF4DC2" w:rsidRDefault="00DF4DC2"/>
    <w:sectPr w:rsidR="00052012" w:rsidRPr="00DF4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C2"/>
    <w:rsid w:val="00684492"/>
    <w:rsid w:val="00DF4DC2"/>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4270"/>
  <w15:chartTrackingRefBased/>
  <w15:docId w15:val="{7DE57390-C63F-41E0-90B4-32974815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DF4DC2"/>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DF4DC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4DC2"/>
    <w:rPr>
      <w:b/>
      <w:bCs/>
    </w:rPr>
  </w:style>
  <w:style w:type="character" w:styleId="a5">
    <w:name w:val="Hyperlink"/>
    <w:basedOn w:val="a0"/>
    <w:uiPriority w:val="99"/>
    <w:semiHidden/>
    <w:unhideWhenUsed/>
    <w:rsid w:val="00DF4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685414">
      <w:bodyDiv w:val="1"/>
      <w:marLeft w:val="0"/>
      <w:marRight w:val="0"/>
      <w:marTop w:val="0"/>
      <w:marBottom w:val="0"/>
      <w:divBdr>
        <w:top w:val="none" w:sz="0" w:space="0" w:color="auto"/>
        <w:left w:val="none" w:sz="0" w:space="0" w:color="auto"/>
        <w:bottom w:val="none" w:sz="0" w:space="0" w:color="auto"/>
        <w:right w:val="none" w:sz="0" w:space="0" w:color="auto"/>
      </w:divBdr>
      <w:divsChild>
        <w:div w:id="1916889021">
          <w:marLeft w:val="0"/>
          <w:marRight w:val="0"/>
          <w:marTop w:val="0"/>
          <w:marBottom w:val="0"/>
          <w:divBdr>
            <w:top w:val="single" w:sz="6" w:space="26" w:color="E5E5E5"/>
            <w:left w:val="none" w:sz="0" w:space="0" w:color="auto"/>
            <w:bottom w:val="none" w:sz="0" w:space="0" w:color="auto"/>
            <w:right w:val="none" w:sz="0" w:space="0" w:color="auto"/>
          </w:divBdr>
          <w:divsChild>
            <w:div w:id="1168180748">
              <w:marLeft w:val="0"/>
              <w:marRight w:val="0"/>
              <w:marTop w:val="0"/>
              <w:marBottom w:val="0"/>
              <w:divBdr>
                <w:top w:val="none" w:sz="0" w:space="0" w:color="auto"/>
                <w:left w:val="none" w:sz="0" w:space="0" w:color="auto"/>
                <w:bottom w:val="none" w:sz="0" w:space="0" w:color="auto"/>
                <w:right w:val="none" w:sz="0" w:space="0" w:color="auto"/>
              </w:divBdr>
              <w:divsChild>
                <w:div w:id="19697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ww.cq.gov.cn/zwgk_247/zfxxgkml/tzgg/202309/P020230905340262851844.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芮晴 许</dc:creator>
  <cp:keywords/>
  <dc:description/>
  <cp:lastModifiedBy>芮晴 许</cp:lastModifiedBy>
  <cp:revision>1</cp:revision>
  <dcterms:created xsi:type="dcterms:W3CDTF">2023-09-05T09:04:00Z</dcterms:created>
  <dcterms:modified xsi:type="dcterms:W3CDTF">2023-09-05T09:05:00Z</dcterms:modified>
</cp:coreProperties>
</file>