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default" w:eastAsia="方正小标宋_GBK"/>
          <w:color w:val="000000"/>
          <w:sz w:val="44"/>
          <w:szCs w:val="44"/>
          <w:lang w:val="en-US"/>
        </w:rPr>
      </w:pPr>
      <w:bookmarkStart w:id="0" w:name="_GoBack"/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重庆大学</w:t>
      </w:r>
      <w:r>
        <w:rPr>
          <w:rFonts w:hint="default" w:ascii="Times New Roman" w:hAnsi="Times New Roman" w:eastAsia="方正仿宋_GBK" w:cs="Times New Roman"/>
          <w:color w:val="000000"/>
          <w:sz w:val="44"/>
          <w:szCs w:val="44"/>
          <w:lang w:val="en-US" w:eastAsia="zh-CN"/>
        </w:rPr>
        <w:t>A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校区入校人员信息登记表</w:t>
      </w:r>
      <w:bookmarkEnd w:id="0"/>
    </w:p>
    <w:tbl>
      <w:tblPr>
        <w:tblStyle w:val="4"/>
        <w:tblpPr w:leftFromText="180" w:rightFromText="180" w:vertAnchor="text" w:horzAnchor="page" w:tblpX="1436" w:tblpY="530"/>
        <w:tblOverlap w:val="never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318"/>
        <w:gridCol w:w="4149"/>
        <w:gridCol w:w="2947"/>
        <w:gridCol w:w="3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14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  <w:t>绿色出行/车牌号</w:t>
            </w:r>
          </w:p>
        </w:tc>
        <w:tc>
          <w:tcPr>
            <w:tcW w:w="336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318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49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947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3369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318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49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947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3369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318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49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947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3369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318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49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947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3369" w:type="dxa"/>
          </w:tcPr>
          <w:p>
            <w:pPr>
              <w:snapToGrid w:val="0"/>
              <w:spacing w:line="560" w:lineRule="exact"/>
              <w:rPr>
                <w:rFonts w:ascii="方正仿宋_GBK" w:eastAsia="方正仿宋_GBK"/>
                <w:color w:val="000000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温馨提示：由于学校场地限制，鼓励各参会校企单位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绿色出行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，乘坐公共交通工具出席活动。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交通路线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(一)导航“重庆大学A区”，自驾前往；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(二)乘坐轨道交通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环线外环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至“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重庆大学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”地铁站，从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号口出，步行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米到达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重庆大学A区（正门）。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F61CA5-2A3D-43BF-BECB-0E242DD3987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58FA825-FF75-473F-A06D-22C9A5EA98E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547DA0C-C965-494F-A2EF-DC8DAE476AD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76DE8F5-DA7E-4305-8885-BD999AB14B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RmMDM4YmNlMDNlMWMyZjA3MTdjZmViZTI5NmMifQ=="/>
  </w:docVars>
  <w:rsids>
    <w:rsidRoot w:val="5A0A6E78"/>
    <w:rsid w:val="5A0A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2024-04-05T16:43:00Z</dcterms:created>
  <dc:creator>剑走偏锋</dc:creator>
  <cp:lastModifiedBy>剑走偏锋</cp:lastModifiedBy>
  <dcterms:modified xsi:type="dcterms:W3CDTF">2024-04-05T16:45:06Z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0D07196040444EED8A19557FA97F3741_11</vt:lpwstr>
  </property>
</Properties>
</file>