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3B14">
      <w:pPr>
        <w:jc w:val="center"/>
        <w:rPr>
          <w:rFonts w:hint="eastAsia"/>
          <w:w w:val="95"/>
        </w:rPr>
      </w:pPr>
    </w:p>
    <w:p w14:paraId="6AEC957D">
      <w:pPr>
        <w:rPr>
          <w:rFonts w:hint="eastAsia"/>
        </w:rPr>
      </w:pPr>
      <w:r>
        <w:rPr>
          <w:color w:val="FF0000"/>
          <w:sz w:val="20"/>
        </w:rPr>
        <w:pict>
          <v:shape id="_x0000_s1026" o:spid="_x0000_s1026" o:spt="136" type="#_x0000_t136" style="position:absolute;left:0pt;margin-left:0pt;margin-top:7.8pt;height:34.8pt;width:441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沙坪坝区经济和信息化委员会" style="font-family:方正小标宋_GBK;font-size:32pt;v-text-align:center;"/>
          </v:shape>
        </w:pict>
      </w:r>
    </w:p>
    <w:p w14:paraId="0F015020">
      <w:pPr>
        <w:rPr>
          <w:rFonts w:hint="eastAsia"/>
        </w:rPr>
      </w:pPr>
    </w:p>
    <w:p w14:paraId="4101A6A7">
      <w:pPr>
        <w:rPr>
          <w:rFonts w:hint="eastAsia"/>
        </w:rPr>
      </w:pPr>
    </w:p>
    <w:p w14:paraId="269F63ED">
      <w:pPr>
        <w:rPr>
          <w:rFonts w:hint="eastAsia"/>
        </w:rPr>
      </w:pPr>
    </w:p>
    <w:p w14:paraId="1E8E9456">
      <w:pPr>
        <w:rPr>
          <w:rFonts w:hint="eastAsia"/>
        </w:rPr>
      </w:pP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15875" r="0" b="2222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7.8pt;height:0pt;width:441pt;z-index:251659264;mso-width-relative:page;mso-height-relative:page;" filled="f" stroked="t" coordsize="21600,21600" o:gfxdata="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NQL3tQA&#10;AAAGAQAADwAAAAAAAAABACAAAAAiAAAAZHJzL2Rvd25yZXYueG1sUEsBAhQAFAAAAAgAh07iQCA7&#10;V67qAQAA3AMAAA4AAAAAAAAAAQAgAAAAIwEAAGRycy9lMm9Eb2MueG1sUEsFBgAAAAAGAAYAWQEA&#10;AH8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D516215"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30CE4F45">
      <w:pPr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eastAsia="zh-CN"/>
        </w:rPr>
        <w:t>重庆市沙坪坝区经济和信息化委员会</w:t>
      </w:r>
    </w:p>
    <w:p w14:paraId="06201D55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  <w:t>关于召开</w:t>
      </w:r>
      <w:r>
        <w:rPr>
          <w:rFonts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  <w:t>重庆市大中小企业融通发展暨“四链融合”</w:t>
      </w:r>
    </w:p>
    <w:p w14:paraId="329D0EC6">
      <w:pPr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  <w:t>巡回对接（沙坪坝站）专精特新企业</w:t>
      </w:r>
      <w:r>
        <w:rPr>
          <w:rFonts w:hint="eastAsia" w:ascii="Times New Roman" w:hAnsi="Times New Roman" w:eastAsia="方正小标宋_GBK" w:cs="Times New Roman"/>
          <w:spacing w:val="-20"/>
          <w:kern w:val="2"/>
          <w:sz w:val="44"/>
          <w:szCs w:val="44"/>
          <w:lang w:eastAsia="zh-CN"/>
        </w:rPr>
        <w:t>赋能</w:t>
      </w:r>
    </w:p>
    <w:p w14:paraId="68C0001F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kern w:val="2"/>
          <w:sz w:val="44"/>
          <w:szCs w:val="44"/>
          <w:lang w:eastAsia="zh-CN"/>
        </w:rPr>
        <w:t>交流会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活动的通知</w:t>
      </w:r>
    </w:p>
    <w:p w14:paraId="4685E9FC">
      <w:pPr>
        <w:pStyle w:val="2"/>
        <w:ind w:left="0" w:leftChars="0" w:firstLine="0" w:firstLineChars="0"/>
        <w:rPr>
          <w:rFonts w:ascii="Times New Roman" w:hAnsi="Times New Roman" w:cs="Times New Roman"/>
          <w:lang w:eastAsia="zh-CN"/>
        </w:rPr>
      </w:pPr>
    </w:p>
    <w:p w14:paraId="385F5793">
      <w:pPr>
        <w:spacing w:line="560" w:lineRule="atLeast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各镇（街），</w:t>
      </w:r>
      <w:r>
        <w:rPr>
          <w:rFonts w:hint="eastAsia" w:eastAsia="方正仿宋_GBK" w:cs="Times New Roman"/>
          <w:sz w:val="32"/>
          <w:szCs w:val="30"/>
          <w:lang w:eastAsia="zh-CN"/>
        </w:rPr>
        <w:t>园区平台，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各企业，有关单位：</w:t>
      </w:r>
    </w:p>
    <w:p w14:paraId="4B2CA2D0">
      <w:pPr>
        <w:spacing w:line="560" w:lineRule="atLeas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bookmarkStart w:id="2" w:name="_GoBack"/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为深入贯彻中央和地方关于促进大中小企业融通创新的政策精神，聚焦“33618”现代制造业集群体系建设，通过依托重庆市数字化转型服务商、高校、科研院所、金融机构等多家中小企业数字化转型服务联盟成员单位，整合专业服务机构资源，加速企业数字化转型。重庆市中小企业发展服务中心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、重庆市中小企业数字化转型服务联盟拟在</w:t>
      </w: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沙坪坝区组织开展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重庆市大中小企业融通发展暨“四链融合”巡回对接（沙坪坝站）专精特新企业赋能交流会</w:t>
      </w:r>
      <w:bookmarkEnd w:id="2"/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现将有关事项通知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如下：</w:t>
      </w:r>
    </w:p>
    <w:p w14:paraId="7AB5AFDB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  <w:t xml:space="preserve">一、活动时间 </w:t>
      </w:r>
    </w:p>
    <w:p w14:paraId="28906428"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2024年11月22日（星期五） 14:00—17:30</w:t>
      </w:r>
    </w:p>
    <w:p w14:paraId="4C1AB22C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  <w:t>二、活动地点</w:t>
      </w:r>
    </w:p>
    <w:p w14:paraId="01C0DD1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重庆国际物流枢纽园区一楼（沙坪坝区黄金湾·智谷B1栋101多功能厅）</w:t>
      </w:r>
    </w:p>
    <w:p w14:paraId="3CA3B1AC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  <w:t>三、活动组织</w:t>
      </w:r>
    </w:p>
    <w:p w14:paraId="358408EF">
      <w:pPr>
        <w:autoSpaceDE/>
        <w:autoSpaceDN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指导单位：中国中小企业发展促进中心</w:t>
      </w:r>
    </w:p>
    <w:p w14:paraId="105EEF1E">
      <w:pPr>
        <w:rPr>
          <w:lang w:eastAsia="zh-CN"/>
        </w:rPr>
      </w:pPr>
      <w:r>
        <w:rPr>
          <w:rFonts w:hint="eastAsia" w:ascii="Times New Roman" w:hAnsi="Times New Roman" w:eastAsia="方正仿宋_GBK" w:cs="Times New Roman"/>
          <w:szCs w:val="30"/>
          <w:lang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 xml:space="preserve">     （中国中小企业国际合作协会）</w:t>
      </w:r>
    </w:p>
    <w:p w14:paraId="17FA3FE0"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lang w:eastAsia="zh-CN"/>
        </w:rPr>
      </w:pPr>
      <w:r>
        <w:rPr>
          <w:rFonts w:ascii="Times New Roman" w:hAnsi="Times New Roman" w:eastAsia="方正仿宋_GBK" w:cs="Times New Roman"/>
          <w:szCs w:val="30"/>
          <w:lang w:eastAsia="zh-CN"/>
        </w:rPr>
        <w:t>主办单位：重庆市中小企业发展服务中心</w:t>
      </w:r>
    </w:p>
    <w:p w14:paraId="2D0AF898">
      <w:pPr>
        <w:autoSpaceDE/>
        <w:autoSpaceDN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沙坪坝区经济和信息化委员会</w:t>
      </w:r>
    </w:p>
    <w:p w14:paraId="47F268D6">
      <w:pPr>
        <w:autoSpaceDE/>
        <w:autoSpaceDN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重庆市中小企业数字化转型服务联盟</w:t>
      </w:r>
    </w:p>
    <w:p w14:paraId="0506E088">
      <w:pPr>
        <w:autoSpaceDE/>
        <w:autoSpaceDN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承办单位：沙坪坝区中小企业公共服务窗口平台</w:t>
      </w:r>
    </w:p>
    <w:p w14:paraId="0F93B2C8">
      <w:pPr>
        <w:spacing w:line="560" w:lineRule="exact"/>
        <w:ind w:firstLine="2240" w:firstLineChars="700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渝北</w:t>
      </w: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区中小企业公共服务窗口平台</w:t>
      </w:r>
      <w:bookmarkStart w:id="0" w:name="_Hlk182817034"/>
    </w:p>
    <w:p w14:paraId="7B1EE529">
      <w:pPr>
        <w:autoSpaceDE/>
        <w:autoSpaceDN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北京数字万融科技有限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责任</w:t>
      </w: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公司</w:t>
      </w:r>
    </w:p>
    <w:p w14:paraId="794B6BC7">
      <w:pPr>
        <w:autoSpaceDE/>
        <w:autoSpaceDN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重庆弘煜科技有限公司</w:t>
      </w:r>
    </w:p>
    <w:bookmarkEnd w:id="0"/>
    <w:p w14:paraId="15930DF9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  <w:t>四、参会人员</w:t>
      </w:r>
    </w:p>
    <w:p w14:paraId="3564931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（一）中国中小企业发展促进中心代表；</w:t>
      </w:r>
    </w:p>
    <w:p w14:paraId="618C294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（二）重庆市经济和信息化委员会代表；</w:t>
      </w:r>
    </w:p>
    <w:p w14:paraId="42D1927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 xml:space="preserve">（三）沙坪坝区经济和信息化委员会、重庆市中小企业发展服务中心； </w:t>
      </w:r>
    </w:p>
    <w:p w14:paraId="170418E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（四）沙坪坝区中小企业公共服务窗口平台、</w:t>
      </w:r>
      <w:r>
        <w:rPr>
          <w:rFonts w:hint="eastAsia" w:ascii="Times New Roman" w:hAnsi="Times New Roman" w:eastAsia="方正仿宋_GBK" w:cs="Times New Roman"/>
          <w:sz w:val="32"/>
          <w:szCs w:val="30"/>
          <w:lang w:eastAsia="zh-CN"/>
        </w:rPr>
        <w:t>渝北</w:t>
      </w: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区中小企业公共服务窗口平台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招商银行股份有限公司重庆分行、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光大银行股份有限公司重庆分行、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国信证券、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北京数字万融科技有限责任公司、重庆市拓银企服科技集团有限公司相关代表；</w:t>
      </w:r>
    </w:p>
    <w:p w14:paraId="387C791E">
      <w:pPr>
        <w:spacing w:line="560" w:lineRule="exact"/>
        <w:ind w:firstLine="64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（五）</w:t>
      </w:r>
      <w:r>
        <w:rPr>
          <w:rFonts w:ascii="Times New Roman" w:hAnsi="Times New Roman" w:eastAsia="方正仿宋_GBK" w:cs="Times New Roman"/>
          <w:sz w:val="32"/>
          <w:szCs w:val="30"/>
          <w:lang w:eastAsia="zh-CN"/>
        </w:rPr>
        <w:t>重庆市中小企业数字化转型服务联盟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代表；</w:t>
      </w:r>
    </w:p>
    <w:p w14:paraId="19A07DB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（六）重庆市“33618”现代制造业集群的上市企业、产业链主领军企业、专精特新企业及拟培育专精特新企业代表；</w:t>
      </w:r>
    </w:p>
    <w:p w14:paraId="38DF1609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请参加单位于2024年11月21日12:00前通过短信方式（单位、姓名、职务、联系电话）报参会回执。</w:t>
      </w:r>
    </w:p>
    <w:p w14:paraId="4AB82E5A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联系人：戴爱乐；联系电话：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18166467459</w:t>
      </w:r>
    </w:p>
    <w:p w14:paraId="4FF5CB0B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 w14:paraId="24E34733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附件：会议议程</w:t>
      </w:r>
    </w:p>
    <w:p w14:paraId="65A767F6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14D4E20B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6656EA2A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重庆市沙坪坝区经济和信息化委员会</w:t>
      </w:r>
    </w:p>
    <w:p w14:paraId="3A051E63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  <w:lang w:eastAsia="zh-CN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  <w:lang w:eastAsia="zh-CN"/>
        </w:rPr>
        <w:t>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</w:t>
      </w:r>
    </w:p>
    <w:p w14:paraId="0DAED708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9738FAD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会议议程</w:t>
      </w:r>
    </w:p>
    <w:p w14:paraId="2C2D77A5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tbl>
      <w:tblPr>
        <w:tblStyle w:val="5"/>
        <w:tblW w:w="9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686"/>
        <w:gridCol w:w="4788"/>
      </w:tblGrid>
      <w:tr w14:paraId="17E87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7CF7E0BC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86" w:type="dxa"/>
            <w:vAlign w:val="center"/>
          </w:tcPr>
          <w:p w14:paraId="5E406CFD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议程</w:t>
            </w:r>
          </w:p>
        </w:tc>
        <w:tc>
          <w:tcPr>
            <w:tcW w:w="4788" w:type="dxa"/>
            <w:vAlign w:val="center"/>
          </w:tcPr>
          <w:p w14:paraId="52EEFC0F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嘉宾</w:t>
            </w:r>
          </w:p>
        </w:tc>
      </w:tr>
      <w:tr w14:paraId="357EA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6BDA7C59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签到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（14:00—14:30）</w:t>
            </w:r>
          </w:p>
        </w:tc>
      </w:tr>
      <w:tr w14:paraId="33EA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6C39669E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  <w:t>开幕式（50分钟）</w:t>
            </w:r>
          </w:p>
        </w:tc>
      </w:tr>
      <w:tr w14:paraId="0EC4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3A1A336A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14:30-14:35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CA2AF20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领导致辞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595105D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市经济信息委中小企业处领导</w:t>
            </w:r>
          </w:p>
        </w:tc>
      </w:tr>
      <w:tr w14:paraId="3C4D8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5B3276AD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14:35-14:40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B51A747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领导致辞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166F8657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中国中小企业发展促进中心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领导</w:t>
            </w:r>
          </w:p>
        </w:tc>
      </w:tr>
      <w:tr w14:paraId="5944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39BFD7B7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14:40-14:45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C2A5AB6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领导致辞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5FF57E2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 xml:space="preserve">沙坪坝区经济信息委主任 </w:t>
            </w:r>
          </w:p>
        </w:tc>
      </w:tr>
      <w:tr w14:paraId="1235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3250D64C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14:45-15:00</w:t>
            </w:r>
          </w:p>
        </w:tc>
        <w:tc>
          <w:tcPr>
            <w:tcW w:w="2686" w:type="dxa"/>
            <w:vAlign w:val="center"/>
          </w:tcPr>
          <w:p w14:paraId="6CBD9D92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“企业码上服务”综合场景应用宣讲</w:t>
            </w:r>
          </w:p>
        </w:tc>
        <w:tc>
          <w:tcPr>
            <w:tcW w:w="4788" w:type="dxa"/>
            <w:vAlign w:val="center"/>
          </w:tcPr>
          <w:p w14:paraId="5CF944FB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市中小企业发展服务中心</w:t>
            </w:r>
          </w:p>
        </w:tc>
      </w:tr>
      <w:tr w14:paraId="3F72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04EF24A4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15:00-15:20</w:t>
            </w:r>
          </w:p>
        </w:tc>
        <w:tc>
          <w:tcPr>
            <w:tcW w:w="2686" w:type="dxa"/>
            <w:vAlign w:val="center"/>
          </w:tcPr>
          <w:p w14:paraId="0AC07302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专精特新赋能中小企业高质量发展</w:t>
            </w:r>
          </w:p>
        </w:tc>
        <w:tc>
          <w:tcPr>
            <w:tcW w:w="4788" w:type="dxa"/>
            <w:vAlign w:val="center"/>
          </w:tcPr>
          <w:p w14:paraId="62F16ACF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中国中小企业发展促进中心</w:t>
            </w:r>
          </w:p>
        </w:tc>
      </w:tr>
      <w:tr w14:paraId="591F8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57850221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bookmarkStart w:id="1" w:name="OLE_LINK8"/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企业赋能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旨演讲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钟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color w:val="auto"/>
                <w:highlight w:val="none"/>
                <w:lang w:eastAsia="zh-CN"/>
              </w:rPr>
              <w:t>）</w:t>
            </w:r>
            <w:bookmarkEnd w:id="1"/>
          </w:p>
        </w:tc>
      </w:tr>
      <w:tr w14:paraId="1AA1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55AE155A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15:20-15:35</w:t>
            </w:r>
          </w:p>
        </w:tc>
        <w:tc>
          <w:tcPr>
            <w:tcW w:w="2686" w:type="dxa"/>
            <w:vAlign w:val="center"/>
          </w:tcPr>
          <w:p w14:paraId="1D5C117D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数字化赋能专精特新企业高质量发展</w:t>
            </w:r>
          </w:p>
        </w:tc>
        <w:tc>
          <w:tcPr>
            <w:tcW w:w="4788" w:type="dxa"/>
            <w:vAlign w:val="center"/>
          </w:tcPr>
          <w:p w14:paraId="754C3829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  <w:lang w:eastAsia="zh-CN"/>
              </w:rPr>
              <w:t>重庆金蝶软件有限公司</w:t>
            </w:r>
          </w:p>
        </w:tc>
      </w:tr>
      <w:tr w14:paraId="42477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vAlign w:val="center"/>
          </w:tcPr>
          <w:p w14:paraId="1ABF820E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15:35-15:50</w:t>
            </w:r>
          </w:p>
        </w:tc>
        <w:tc>
          <w:tcPr>
            <w:tcW w:w="2686" w:type="dxa"/>
            <w:vAlign w:val="center"/>
          </w:tcPr>
          <w:p w14:paraId="7D423F93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数字化赋能专精特新企业高质量发展</w:t>
            </w:r>
          </w:p>
        </w:tc>
        <w:tc>
          <w:tcPr>
            <w:tcW w:w="4788" w:type="dxa"/>
            <w:vAlign w:val="center"/>
          </w:tcPr>
          <w:p w14:paraId="6F18860F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  <w:lang w:eastAsia="zh-CN"/>
              </w:rPr>
              <w:t>华为云计算技术有限公司</w:t>
            </w:r>
          </w:p>
        </w:tc>
      </w:tr>
      <w:tr w14:paraId="72B10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0A80DD84">
            <w:pPr>
              <w:pStyle w:val="7"/>
              <w:framePr w:hSpace="0" w:wrap="auto" w:vAnchor="margin" w:hAnchor="text" w:xAlign="left" w:yAlign="in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15:50-16: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05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8F9036C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highlight w:val="yellow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银行赋能专精特新企业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A176EAC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光大银行</w:t>
            </w:r>
          </w:p>
        </w:tc>
      </w:tr>
      <w:tr w14:paraId="291C1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0F760993">
            <w:pPr>
              <w:pStyle w:val="7"/>
              <w:framePr w:hSpace="0" w:wrap="auto" w:vAnchor="margin" w:hAnchor="text" w:xAlign="left" w:yAlign="in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16:05-16:20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69B2E62B">
            <w:pPr>
              <w:pStyle w:val="7"/>
              <w:framePr w:hSpace="0" w:wrap="auto" w:vAnchor="margin" w:hAnchor="text" w:xAlign="left" w:yAlign="inline"/>
              <w:jc w:val="both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专精特新企业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技改贷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全流程讲解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0B7665A">
            <w:pPr>
              <w:pStyle w:val="7"/>
              <w:framePr w:hSpace="0" w:wrap="auto" w:vAnchor="margin" w:hAnchor="text" w:xAlign="left" w:yAlign="inline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招商银行</w:t>
            </w:r>
          </w:p>
        </w:tc>
      </w:tr>
      <w:tr w14:paraId="1E1C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0D9319C5">
            <w:pPr>
              <w:pStyle w:val="7"/>
              <w:framePr w:hSpace="0" w:wrap="auto" w:vAnchor="margin" w:hAnchor="text" w:xAlign="left" w:yAlign="in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16: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-16: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46926C7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专精特新企业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上市</w:t>
            </w:r>
            <w:r>
              <w:rPr>
                <w:rFonts w:hint="eastAsia" w:ascii="宋体" w:hAnsi="宋体" w:eastAsia="宋体" w:cs="宋体"/>
                <w:lang w:eastAsia="zh-CN"/>
              </w:rPr>
              <w:t>之路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19ED2C7F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国信证券</w:t>
            </w:r>
          </w:p>
        </w:tc>
      </w:tr>
      <w:tr w14:paraId="5EC7D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shd w:val="clear" w:color="auto" w:fill="auto"/>
            <w:vAlign w:val="center"/>
          </w:tcPr>
          <w:p w14:paraId="51503D41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标杆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lang w:eastAsia="zh-CN"/>
              </w:rPr>
              <w:t>企业</w:t>
            </w:r>
            <w:r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验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lang w:eastAsia="zh-CN"/>
              </w:rPr>
              <w:t>分享（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钟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lang w:eastAsia="zh-CN"/>
              </w:rPr>
              <w:t>）</w:t>
            </w:r>
          </w:p>
        </w:tc>
      </w:tr>
      <w:tr w14:paraId="5542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781EF270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16: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-16: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7D1734A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优秀数字化转型专精特新企业数字化转型实践分享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63D5D695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  <w:lang w:eastAsia="zh-CN"/>
              </w:rPr>
              <w:t>重庆百誉登科技</w:t>
            </w: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有限公司</w:t>
            </w:r>
          </w:p>
        </w:tc>
      </w:tr>
      <w:tr w14:paraId="7501B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3703AA80">
            <w:pPr>
              <w:pStyle w:val="7"/>
              <w:framePr w:hSpace="0" w:wrap="auto" w:vAnchor="margin" w:hAnchor="text" w:xAlign="left" w:yAlign="inline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16:40-16:50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4B29561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专精特新企业数智科研项目管理系统分享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758BEA48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szCs w:val="32"/>
                <w:lang w:eastAsia="zh-CN"/>
              </w:rPr>
              <w:t>拓银企服科技集团</w:t>
            </w: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有限公司</w:t>
            </w:r>
          </w:p>
        </w:tc>
      </w:tr>
      <w:tr w14:paraId="6E48D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1595" w:type="dxa"/>
            <w:shd w:val="clear" w:color="auto" w:fill="auto"/>
            <w:vAlign w:val="center"/>
          </w:tcPr>
          <w:p w14:paraId="7A791CAA">
            <w:pPr>
              <w:pStyle w:val="7"/>
              <w:framePr w:hSpace="0" w:wrap="auto" w:vAnchor="margin" w:hAnchor="text" w:xAlign="left" w:yAlign="inline"/>
              <w:spacing w:line="400" w:lineRule="exac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16:50-17:0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0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8BB968D">
            <w:pPr>
              <w:pStyle w:val="7"/>
              <w:framePr w:hSpace="0" w:wrap="auto" w:vAnchor="margin" w:hAnchor="text" w:xAlign="left" w:yAlign="in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沙坪坝</w:t>
            </w:r>
            <w:r>
              <w:rPr>
                <w:lang w:eastAsia="zh-CN"/>
              </w:rPr>
              <w:t>区中小企业公共服务窗口平台</w:t>
            </w:r>
            <w:r>
              <w:rPr>
                <w:rFonts w:hint="eastAsia"/>
                <w:lang w:eastAsia="zh-CN"/>
              </w:rPr>
              <w:t>服务能力介绍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EBB1934">
            <w:pPr>
              <w:pStyle w:val="7"/>
              <w:framePr w:hSpace="0" w:wrap="auto" w:vAnchor="margin" w:hAnchor="text" w:xAlign="left" w:yAlign="inline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沙坪坝</w:t>
            </w:r>
            <w:r>
              <w:rPr>
                <w:lang w:eastAsia="zh-CN"/>
              </w:rPr>
              <w:t>区中小企业公共服务窗口平台</w:t>
            </w:r>
          </w:p>
        </w:tc>
      </w:tr>
      <w:tr w14:paraId="1E371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44E35971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  <w:t>平行活动（30分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钟</w:t>
            </w:r>
            <w:r>
              <w:rPr>
                <w:rFonts w:hint="eastAsia" w:ascii="___WRD_EMBED_SUB_42" w:hAnsi="___WRD_EMBED_SUB_42" w:eastAsia="___WRD_EMBED_SUB_42" w:cs="___WRD_EMBED_SUB_42"/>
                <w:b/>
                <w:bCs/>
                <w:lang w:eastAsia="zh-CN"/>
              </w:rPr>
              <w:t>）</w:t>
            </w:r>
          </w:p>
        </w:tc>
      </w:tr>
      <w:tr w14:paraId="69739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3CE9B8DE">
            <w:pPr>
              <w:pStyle w:val="7"/>
              <w:framePr w:hSpace="0" w:wrap="auto" w:vAnchor="margin" w:hAnchor="text" w:xAlign="left" w:yAlign="inline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开放服务洽谈区（预计</w:t>
            </w:r>
            <w:r>
              <w:rPr>
                <w:rFonts w:hint="eastAsia" w:ascii="Times New Roman" w:hAnsi="Times New Roman" w:eastAsia="方正仿宋_GBK" w:cs="Times New Roman"/>
                <w:szCs w:val="32"/>
                <w:lang w:eastAsia="zh-CN"/>
              </w:rPr>
              <w:t>6-8</w:t>
            </w: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个展位），通过</w:t>
            </w:r>
            <w:r>
              <w:rPr>
                <w:rFonts w:hint="eastAsia" w:ascii="Times New Roman" w:hAnsi="Times New Roman" w:eastAsia="方正仿宋_GBK" w:cs="Times New Roman"/>
                <w:kern w:val="2"/>
                <w:szCs w:val="32"/>
                <w:lang w:eastAsia="zh-CN"/>
              </w:rPr>
              <w:t>企业赋能</w:t>
            </w:r>
            <w:r>
              <w:rPr>
                <w:rFonts w:ascii="Times New Roman" w:hAnsi="Times New Roman" w:eastAsia="方正仿宋_GBK" w:cs="Times New Roman"/>
                <w:kern w:val="2"/>
                <w:szCs w:val="32"/>
                <w:lang w:eastAsia="zh-CN"/>
              </w:rPr>
              <w:t>服务案例</w:t>
            </w:r>
            <w:r>
              <w:rPr>
                <w:rFonts w:ascii="Times New Roman" w:hAnsi="Times New Roman" w:eastAsia="方正仿宋_GBK" w:cs="Times New Roman"/>
                <w:szCs w:val="32"/>
                <w:lang w:eastAsia="zh-CN"/>
              </w:rPr>
              <w:t>成果展示与交流，鼓励参会者提出数转意向需求，寻找合作伙伴，促进实质性对接。</w:t>
            </w:r>
          </w:p>
        </w:tc>
      </w:tr>
      <w:tr w14:paraId="29A0D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9069" w:type="dxa"/>
            <w:gridSpan w:val="3"/>
            <w:vAlign w:val="center"/>
          </w:tcPr>
          <w:p w14:paraId="12F9E115">
            <w:pPr>
              <w:pStyle w:val="7"/>
              <w:framePr w:hSpace="0" w:wrap="auto" w:vAnchor="margin" w:hAnchor="text" w:xAlign="left" w:yAlign="inline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lang w:eastAsia="zh-CN"/>
              </w:rPr>
              <w:t>活动结束</w:t>
            </w:r>
          </w:p>
        </w:tc>
      </w:tr>
    </w:tbl>
    <w:p w14:paraId="23128DEE">
      <w:pPr>
        <w:keepNext w:val="0"/>
        <w:keepLines w:val="0"/>
        <w:pageBreakBefore w:val="0"/>
        <w:widowControl w:val="0"/>
        <w:tabs>
          <w:tab w:val="left" w:pos="8400"/>
          <w:tab w:val="left" w:pos="86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__WRD_EMBED_SUB_4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CFA8">
    <w:pPr>
      <w:pStyle w:val="3"/>
      <w:wordWrap w:val="0"/>
      <w:ind w:firstLine="7280" w:firstLineChars="2600"/>
      <w:jc w:val="right"/>
      <w:rPr>
        <w:rFonts w:hint="eastAsia" w:ascii="方正仿宋_GBK" w:hAnsi="宋体" w:eastAsia="方正仿宋_GBK"/>
        <w:sz w:val="28"/>
        <w:szCs w:val="28"/>
        <w:lang w:val="en-US" w:eastAsia="zh-CN"/>
      </w:rPr>
    </w:pPr>
    <w:r>
      <w:rPr>
        <w:rFonts w:hint="eastAsia" w:ascii="方正仿宋_GBK" w:hAnsi="宋体" w:eastAsia="方正仿宋_GBK"/>
        <w:kern w:val="0"/>
        <w:sz w:val="28"/>
        <w:szCs w:val="28"/>
        <w:lang w:val="en-US" w:eastAsia="zh-CN"/>
      </w:rPr>
      <w:t xml:space="preserve"> </w:t>
    </w:r>
    <w:r>
      <w:rPr>
        <w:rFonts w:hint="eastAsia" w:ascii="方正仿宋_GBK" w:hAnsi="宋体" w:eastAsia="方正仿宋_GBK"/>
        <w:kern w:val="0"/>
        <w:sz w:val="28"/>
        <w:szCs w:val="28"/>
      </w:rPr>
      <w:t xml:space="preserve">— </w: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begin"/>
    </w:r>
    <w:r>
      <w:rPr>
        <w:rFonts w:hint="eastAsia" w:ascii="方正仿宋_GBK" w:hAnsi="宋体" w:eastAsia="方正仿宋_GBK"/>
        <w:kern w:val="0"/>
        <w:sz w:val="28"/>
        <w:szCs w:val="28"/>
      </w:rPr>
      <w:instrText xml:space="preserve"> PAGE </w:instrTex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separate"/>
    </w:r>
    <w:r>
      <w:rPr>
        <w:rFonts w:ascii="方正仿宋_GBK" w:hAnsi="宋体" w:eastAsia="方正仿宋_GBK"/>
        <w:kern w:val="0"/>
        <w:sz w:val="28"/>
        <w:szCs w:val="28"/>
      </w:rPr>
      <w:t>1</w: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end"/>
    </w:r>
    <w:r>
      <w:rPr>
        <w:rFonts w:hint="eastAsia" w:ascii="方正仿宋_GBK" w:hAnsi="宋体" w:eastAsia="方正仿宋_GBK"/>
        <w:kern w:val="0"/>
        <w:sz w:val="28"/>
        <w:szCs w:val="28"/>
      </w:rPr>
      <w:t xml:space="preserve"> —</w:t>
    </w:r>
    <w:r>
      <w:rPr>
        <w:rFonts w:hint="eastAsia" w:ascii="方正仿宋_GBK" w:hAnsi="宋体" w:eastAsia="方正仿宋_GBK"/>
        <w:kern w:val="0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D13F">
    <w:pPr>
      <w:pStyle w:val="3"/>
      <w:ind w:firstLine="280" w:firstLineChars="100"/>
      <w:rPr>
        <w:rFonts w:hint="eastAsia" w:ascii="方正仿宋_GBK" w:hAnsi="宋体" w:eastAsia="方正仿宋_GBK"/>
        <w:sz w:val="28"/>
        <w:szCs w:val="28"/>
      </w:rPr>
    </w:pPr>
    <w:r>
      <w:rPr>
        <w:rFonts w:hint="eastAsia" w:ascii="方正仿宋_GBK" w:hAnsi="宋体" w:eastAsia="方正仿宋_GBK"/>
        <w:kern w:val="0"/>
        <w:sz w:val="28"/>
        <w:szCs w:val="28"/>
      </w:rPr>
      <w:t xml:space="preserve">— </w: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begin"/>
    </w:r>
    <w:r>
      <w:rPr>
        <w:rFonts w:hint="eastAsia" w:ascii="方正仿宋_GBK" w:hAnsi="宋体" w:eastAsia="方正仿宋_GBK"/>
        <w:kern w:val="0"/>
        <w:sz w:val="28"/>
        <w:szCs w:val="28"/>
      </w:rPr>
      <w:instrText xml:space="preserve"> PAGE </w:instrTex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separate"/>
    </w:r>
    <w:r>
      <w:rPr>
        <w:rFonts w:ascii="方正仿宋_GBK" w:hAnsi="宋体" w:eastAsia="方正仿宋_GBK"/>
        <w:kern w:val="0"/>
        <w:sz w:val="28"/>
        <w:szCs w:val="28"/>
      </w:rPr>
      <w:t>2</w:t>
    </w:r>
    <w:r>
      <w:rPr>
        <w:rFonts w:hint="eastAsia" w:ascii="方正仿宋_GBK" w:hAnsi="宋体" w:eastAsia="方正仿宋_GBK"/>
        <w:kern w:val="0"/>
        <w:sz w:val="28"/>
        <w:szCs w:val="28"/>
      </w:rPr>
      <w:fldChar w:fldCharType="end"/>
    </w:r>
    <w:r>
      <w:rPr>
        <w:rFonts w:hint="eastAsia" w:ascii="方正仿宋_GBK" w:hAnsi="宋体" w:eastAsia="方正仿宋_GBK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21D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TBkMTdjZjhiNTAzOTIxODAyM2ZiOWE1MjQ3ZGIifQ=="/>
  </w:docVars>
  <w:rsids>
    <w:rsidRoot w:val="138B4EAD"/>
    <w:rsid w:val="004B48CF"/>
    <w:rsid w:val="05A70A57"/>
    <w:rsid w:val="072357CC"/>
    <w:rsid w:val="0C104C1F"/>
    <w:rsid w:val="0FD3572D"/>
    <w:rsid w:val="138B4EAD"/>
    <w:rsid w:val="17D20CDA"/>
    <w:rsid w:val="1CC932F4"/>
    <w:rsid w:val="23CB69F0"/>
    <w:rsid w:val="2B8772C3"/>
    <w:rsid w:val="2C483194"/>
    <w:rsid w:val="31C667EC"/>
    <w:rsid w:val="386522E3"/>
    <w:rsid w:val="3A824DB6"/>
    <w:rsid w:val="3DBA4D51"/>
    <w:rsid w:val="403F72A5"/>
    <w:rsid w:val="41E076B2"/>
    <w:rsid w:val="45D71D2E"/>
    <w:rsid w:val="47170289"/>
    <w:rsid w:val="48824D01"/>
    <w:rsid w:val="4E504454"/>
    <w:rsid w:val="50BF7C3D"/>
    <w:rsid w:val="51A61172"/>
    <w:rsid w:val="5C7550A1"/>
    <w:rsid w:val="5CD54DC2"/>
    <w:rsid w:val="5D5563BB"/>
    <w:rsid w:val="643F2304"/>
    <w:rsid w:val="6D991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60"/>
      <w:outlineLvl w:val="0"/>
    </w:pPr>
    <w:rPr>
      <w:rFonts w:ascii="微软雅黑" w:hAnsi="微软雅黑" w:eastAsia="微软雅黑" w:cs="微软雅黑"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framePr w:hSpace="180" w:wrap="around" w:vAnchor="text" w:hAnchor="page" w:x="1704" w:y="412"/>
      <w:spacing w:line="360" w:lineRule="exact"/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&#20415;&#31614;&#31867;\&#19979;&#34892;&#20415;&#31614;\&#32463;&#20449;&#22996;&#20415;&#31614;&#65288;&#32418;&#22836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经信委便签（红头）.dot</Template>
  <Pages>5</Pages>
  <Words>1272</Words>
  <Characters>1472</Characters>
  <Lines>1</Lines>
  <Paragraphs>1</Paragraphs>
  <TotalTime>12</TotalTime>
  <ScaleCrop>false</ScaleCrop>
  <LinksUpToDate>false</LinksUpToDate>
  <CharactersWithSpaces>1501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xxx</dc:creator>
  <cp:lastModifiedBy>剑走偏锋</cp:lastModifiedBy>
  <dcterms:modified xsi:type="dcterms:W3CDTF">2024-11-19T06:13:17Z</dcterms:modified>
  <dc:title>重庆市沙坪坝区经济委员会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ECD510B6E5F6448F9920405690E0946B_13</vt:lpwstr>
  </property>
</Properties>
</file>